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br/>
      </w:r>
      <w:r>
        <w:rPr>
          <w:rFonts w:eastAsia="Calibri"/>
          <w:b/>
          <w:sz w:val="26"/>
          <w:szCs w:val="26"/>
        </w:rPr>
        <w:t xml:space="preserve">на поставку </w:t>
      </w:r>
      <w:r>
        <w:rPr>
          <w:rFonts w:eastAsia="Calibri"/>
          <w:b/>
          <w:sz w:val="24"/>
          <w:szCs w:val="24"/>
        </w:rPr>
        <w:t xml:space="preserve">высоковольтных </w:t>
      </w:r>
      <w:r>
        <w:rPr>
          <w:rFonts w:eastAsia="Calibri"/>
          <w:b/>
          <w:sz w:val="24"/>
          <w:szCs w:val="24"/>
        </w:rPr>
        <w:t xml:space="preserve">выключателей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1750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  <w:t xml:space="preserve">ОКПД2 27.12.10.110 Поставка высоковольтных выключателей 110кВ в рамках инвестиционных проектов для нужд СП Благовещенская ТЭЦ (I_505-АГ-53), СП Николаевская ТЭЦ (O_505-НТЭЦ-7) АО "ДГК"</w:t>
      </w:r>
      <w:r>
        <w:rPr>
          <w:rStyle w:val="1750"/>
          <w:sz w:val="26"/>
          <w:szCs w:val="26"/>
        </w:rPr>
      </w:r>
      <w:r>
        <w:rPr>
          <w:rStyle w:val="1750"/>
          <w:sz w:val="26"/>
          <w:szCs w:val="26"/>
        </w:rPr>
      </w:r>
    </w:p>
    <w:p>
      <w:pPr>
        <w:jc w:val="center"/>
        <w:keepLines/>
        <w:keepNext/>
        <w:rPr>
          <w:rFonts w:eastAsia="Calibri"/>
          <w:b w:val="0"/>
          <w:bCs w:val="0"/>
          <w:i/>
          <w:sz w:val="26"/>
          <w:szCs w:val="26"/>
        </w:rPr>
      </w:pPr>
      <w:r>
        <w:rPr>
          <w:rFonts w:eastAsia="Calibri"/>
          <w:b w:val="0"/>
          <w:bCs w:val="0"/>
          <w:i/>
          <w:iCs/>
          <w:sz w:val="26"/>
          <w:szCs w:val="26"/>
        </w:rPr>
        <w:t xml:space="preserve">Лот № </w:t>
      </w:r>
      <w:r>
        <w:rPr>
          <w:rFonts w:eastAsia="Calibri"/>
          <w:b w:val="0"/>
          <w:bCs w:val="0"/>
          <w:i/>
          <w:iCs/>
          <w:sz w:val="26"/>
          <w:szCs w:val="26"/>
        </w:rPr>
        <w:t xml:space="preserve">22216000-ТПИР ОТМ-2027-ДГК</w:t>
      </w:r>
      <w:r>
        <w:rPr>
          <w:rFonts w:eastAsia="Calibri"/>
          <w:b w:val="0"/>
          <w:bCs w:val="0"/>
          <w:i/>
          <w:sz w:val="26"/>
          <w:szCs w:val="26"/>
        </w:rPr>
      </w:r>
      <w:r>
        <w:rPr>
          <w:rFonts w:eastAsia="Calibri"/>
          <w:b w:val="0"/>
          <w:bCs w:val="0"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1687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bookmarkStart w:id="3" w:name="_GoBack"/>
      <w:r/>
      <w:bookmarkEnd w:id="3"/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191395474" w:anchor="_Toc191395474" w:history="1">
        <w:r>
          <w:rPr>
            <w:rStyle w:val="1689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689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_Toc191395474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70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75" w:anchor="_Toc191395475" w:history="1">
        <w:r>
          <w:rPr>
            <w:rStyle w:val="1689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Обозначения и сокращения</w:t>
        </w:r>
        <w:r>
          <w:tab/>
        </w:r>
        <w:r>
          <w:fldChar w:fldCharType="begin"/>
        </w:r>
        <w:r>
          <w:instrText xml:space="preserve"> PAGEREF _Toc191395475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70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76" w:anchor="_Toc191395476" w:history="1">
        <w:r>
          <w:rPr>
            <w:rStyle w:val="1689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_Toc191395476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70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77" w:anchor="_Toc191395477" w:history="1">
        <w:r>
          <w:rPr>
            <w:rStyle w:val="1689"/>
            <w:iCs/>
          </w:rPr>
          <w:t xml:space="preserve">1.3.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Цель использования закупаемой продукции </w:t>
        </w:r>
        <w:r>
          <w:rPr>
            <w:rStyle w:val="1689"/>
            <w:i/>
            <w:shd w:val="clear" w:color="auto" w:fill="ffff99"/>
          </w:rPr>
          <w:t xml:space="preserve">[Опциональный раздел]</w:t>
        </w:r>
        <w:r>
          <w:tab/>
        </w:r>
        <w:r>
          <w:fldChar w:fldCharType="begin"/>
        </w:r>
        <w:r>
          <w:instrText xml:space="preserve"> PAGEREF _Toc191395477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70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78" w:anchor="_Toc191395478" w:history="1">
        <w:r>
          <w:rPr>
            <w:rStyle w:val="1689"/>
            <w:iCs/>
          </w:rPr>
          <w:t xml:space="preserve">1.4.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>
          <w:rPr>
            <w:rStyle w:val="1689"/>
            <w:i/>
            <w:shd w:val="clear" w:color="auto" w:fill="ffff99"/>
          </w:rPr>
          <w:t xml:space="preserve">[Опциональный раздел]</w:t>
        </w:r>
        <w:r>
          <w:tab/>
        </w:r>
        <w:r>
          <w:fldChar w:fldCharType="begin"/>
        </w:r>
        <w:r>
          <w:instrText xml:space="preserve"> PAGEREF _Toc191395478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70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79" w:anchor="_Toc191395479" w:history="1">
        <w:r>
          <w:rPr>
            <w:rStyle w:val="1689"/>
            <w:iCs/>
          </w:rPr>
          <w:t xml:space="preserve">1.5.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Иные требования и сведения общего характера </w:t>
        </w:r>
        <w:r>
          <w:rPr>
            <w:rStyle w:val="1689"/>
            <w:i/>
            <w:shd w:val="clear" w:color="auto" w:fill="ffff99"/>
          </w:rPr>
          <w:t xml:space="preserve">[Опциональный раздел]</w:t>
        </w:r>
        <w:r>
          <w:tab/>
        </w:r>
        <w:r>
          <w:fldChar w:fldCharType="begin"/>
        </w:r>
        <w:r>
          <w:instrText xml:space="preserve"> PAGEREF _Toc191395479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688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80" w:anchor="_Toc191395480" w:history="1">
        <w:r>
          <w:rPr>
            <w:rStyle w:val="1689"/>
          </w:rPr>
          <w:t xml:space="preserve">1.5.1.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Требования к участнику закупки, признанным победителем</w:t>
        </w:r>
        <w:r>
          <w:tab/>
        </w:r>
        <w:r>
          <w:fldChar w:fldCharType="begin"/>
        </w:r>
        <w:r>
          <w:instrText xml:space="preserve"> PAGEREF _Toc191395480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687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81" w:anchor="_Toc191395481" w:history="1">
        <w:r>
          <w:rPr>
            <w:rStyle w:val="1689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689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_Toc191395481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70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82" w:anchor="_Toc191395482" w:history="1">
        <w:r>
          <w:rPr>
            <w:rStyle w:val="1689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Требования к объемам и срокам поставки</w:t>
        </w:r>
        <w:r>
          <w:tab/>
        </w:r>
        <w:r>
          <w:fldChar w:fldCharType="begin"/>
        </w:r>
        <w:r>
          <w:instrText xml:space="preserve"> PAGEREF _Toc191395482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688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83" w:anchor="_Toc191395483" w:history="1">
        <w:r>
          <w:rPr>
            <w:rStyle w:val="1689"/>
          </w:rPr>
          <w:t xml:space="preserve">2.1.1.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_Toc191395483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687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84" w:anchor="_Toc191395484" w:history="1">
        <w:r>
          <w:rPr>
            <w:rStyle w:val="1689"/>
          </w:rPr>
          <w:t xml:space="preserve">Таблица 1.1 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_Toc191395484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687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85" w:anchor="_Toc191395485" w:history="1">
        <w:r>
          <w:rPr>
            <w:rStyle w:val="1689"/>
          </w:rPr>
          <w:t xml:space="preserve">Таблица 1.2 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_Toc191395485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688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86" w:anchor="_Toc191395486" w:history="1">
        <w:r>
          <w:rPr>
            <w:rStyle w:val="1689"/>
          </w:rPr>
          <w:t xml:space="preserve">2.1.2.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Требования к срокам поставки продукции и оказания сопутствующих услуг</w:t>
        </w:r>
        <w:r>
          <w:tab/>
        </w:r>
        <w:r>
          <w:fldChar w:fldCharType="begin"/>
        </w:r>
        <w:r>
          <w:instrText xml:space="preserve"> PAGEREF _Toc191395486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687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87" w:anchor="_Toc191395487" w:history="1">
        <w:r>
          <w:rPr>
            <w:rStyle w:val="1689"/>
          </w:rPr>
          <w:t xml:space="preserve">Таблица 2.1 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_Toc191395487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687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88" w:anchor="_Toc191395488" w:history="1">
        <w:r>
          <w:rPr>
            <w:rStyle w:val="1689"/>
          </w:rPr>
          <w:t xml:space="preserve">Таблица 2.2 Требования по срокам оказания сопутствующих услуг</w:t>
        </w:r>
        <w:r>
          <w:tab/>
        </w:r>
        <w:r>
          <w:fldChar w:fldCharType="begin"/>
        </w:r>
        <w:r>
          <w:instrText xml:space="preserve"> PAGEREF _Toc191395488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70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89" w:anchor="_Toc191395489" w:history="1">
        <w:r>
          <w:rPr>
            <w:rStyle w:val="1689"/>
            <w:iCs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Требования к качеству продукции</w:t>
        </w:r>
        <w:r>
          <w:tab/>
        </w:r>
        <w:r>
          <w:fldChar w:fldCharType="begin"/>
        </w:r>
        <w:r>
          <w:instrText xml:space="preserve"> PAGEREF _Toc191395489 \h 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687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90" w:anchor="_Toc191395490" w:history="1">
        <w:r>
          <w:rPr>
            <w:rStyle w:val="1689"/>
          </w:rPr>
          <w:t xml:space="preserve">Таблица 3. Требования к продукции</w:t>
        </w:r>
        <w:r>
          <w:tab/>
        </w:r>
        <w:r>
          <w:fldChar w:fldCharType="begin"/>
        </w:r>
        <w:r>
          <w:instrText xml:space="preserve"> PAGEREF _Toc191395490 \h 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688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91395491" w:anchor="_Toc191395491" w:history="1">
        <w:r>
          <w:rPr>
            <w:rStyle w:val="1689"/>
          </w:rPr>
          <w:t xml:space="preserve">2.2.1.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689"/>
          </w:rPr>
          <w:t xml:space="preserve">В составе заявки необходимо предоставить</w:t>
        </w:r>
        <w:r>
          <w:tab/>
        </w:r>
        <w:r>
          <w:fldChar w:fldCharType="begin"/>
        </w:r>
        <w:r>
          <w:instrText xml:space="preserve"> PAGEREF _Toc191395491 \h </w:instrText>
        </w:r>
        <w:r>
          <w:fldChar w:fldCharType="separate"/>
        </w:r>
        <w:r>
          <w:t xml:space="preserve">50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687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92" w:anchor="_Toc191395492" w:history="1">
        <w:r>
          <w:rPr>
            <w:rStyle w:val="1689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689"/>
          </w:rPr>
          <w:t xml:space="preserve">Требования к документации по ценообразованию на этапе закупки</w:t>
        </w:r>
        <w:r>
          <w:tab/>
        </w:r>
        <w:r>
          <w:fldChar w:fldCharType="begin"/>
        </w:r>
        <w:r>
          <w:instrText xml:space="preserve"> PAGEREF _Toc191395492 \h </w:instrText>
        </w:r>
        <w:r>
          <w:fldChar w:fldCharType="separate"/>
        </w:r>
        <w:r>
          <w:t xml:space="preserve">52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687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93" w:anchor="_Toc191395493" w:history="1">
        <w:r>
          <w:rPr>
            <w:rStyle w:val="1689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689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fldChar w:fldCharType="begin"/>
        </w:r>
        <w:r>
          <w:instrText xml:space="preserve"> PAGEREF _Toc191395493 \h 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687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91395494" w:anchor="_Toc191395494" w:history="1">
        <w:r>
          <w:rPr>
            <w:rStyle w:val="1689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689"/>
          </w:rPr>
          <w:t xml:space="preserve">Приложения</w:t>
        </w:r>
        <w:r>
          <w:tab/>
        </w:r>
        <w:r>
          <w:fldChar w:fldCharType="begin"/>
        </w:r>
        <w:r>
          <w:instrText xml:space="preserve"> PAGEREF _Toc191395494 \h </w:instrText>
        </w:r>
        <w:r>
          <w:fldChar w:fldCharType="separate"/>
        </w:r>
        <w:r>
          <w:t xml:space="preserve">54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654"/>
        <w:numPr>
          <w:ilvl w:val="0"/>
          <w:numId w:val="0"/>
        </w:numPr>
        <w:ind w:left="432" w:hanging="432"/>
      </w:pPr>
      <w:r>
        <w:fldChar w:fldCharType="end"/>
      </w:r>
      <w:r/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1653"/>
      </w:pPr>
      <w:r/>
      <w:bookmarkStart w:id="4" w:name="_Toc51339692"/>
      <w:r/>
      <w:bookmarkStart w:id="5" w:name="_Toc191395474"/>
      <w:r>
        <w:t xml:space="preserve">Общие сведения</w:t>
      </w:r>
      <w:bookmarkEnd w:id="4"/>
      <w:r/>
      <w:bookmarkEnd w:id="5"/>
      <w:r/>
      <w:r/>
    </w:p>
    <w:p>
      <w:pPr>
        <w:pStyle w:val="1656"/>
      </w:pPr>
      <w:r/>
      <w:bookmarkStart w:id="6" w:name="_Toc46743505"/>
      <w:r/>
      <w:bookmarkStart w:id="7" w:name="_Toc191395475"/>
      <w:r>
        <w:t xml:space="preserve">Обозначения и сокращения</w:t>
      </w:r>
      <w:bookmarkEnd w:id="6"/>
      <w:r/>
      <w:bookmarkEnd w:id="7"/>
      <w:r/>
      <w:r/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государственный стандарт;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12.2.007.3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Система стандартов безопасности труда. </w:t>
            </w:r>
            <w:r>
              <w:rPr>
                <w:iCs/>
                <w:sz w:val="22"/>
                <w:szCs w:val="22"/>
              </w:rPr>
              <w:t xml:space="preserve">электротехнические устройства на напряжение свыше 1000 В. Требования безопасности</w:t>
            </w:r>
            <w:r>
              <w:rPr>
                <w:iCs/>
                <w:sz w:val="22"/>
                <w:szCs w:val="22"/>
              </w:rPr>
              <w:t xml:space="preserve">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Р 52565-2006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национальный стандарт Российской Федерации. Выключатели переменного тока на напряжения от 3 до 750 кВ. Общие технические условия;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15150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12969-67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Таблички для машин и приборов. Технические требования;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12971-67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Таблички прямоугольные для машин и приборов.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Размеры;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14192-77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Маркировка грузов;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10198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Ящики деревянные для грузов массой св. 200 до 20000 кг. Общие технические условия;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2991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Ящики дощатые неразборные для грузов массой до 500 кг. Общие технические условия;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23216-78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Изделия электротехнические. Хранение, транспортирование, временная противокоррозионная защита, упаковка. Общие требования и методы испытаний;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Р 2.610-2019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национальный стандарт Российской Федерации. Единая система конструкторской документации. Правила выполнения эксплуатационных документов;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ГОСТ Р 56532-</w:t>
            </w:r>
            <w:r>
              <w:rPr>
                <w:iCs/>
                <w:sz w:val="22"/>
                <w:szCs w:val="22"/>
              </w:rPr>
              <w:t xml:space="preserve">2015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национальный стандарт Российской Федерации. Оценка соответствия. Рекомендации по принятию декларации о соответствии продукции установленным требованиям;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ГОСТ 30546.1-98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межгосударственный стандарт. Общие требования к машинам, приборам и другим техническим изделиям и методы</w:t>
            </w:r>
            <w:r>
              <w:rPr>
                <w:iCs/>
                <w:sz w:val="22"/>
                <w:szCs w:val="22"/>
              </w:rPr>
              <w:t xml:space="preserve"> расчета их сложных конструкций в части сейсмостойкости;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Style w:val="1750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ЗИП</w:t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Style w:val="1750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запасные части, инструмент и принадлежности;</w:t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КЗ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короткое замыкание;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НТД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нормативно-техническая документация;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ТУ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технические условия;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ТТ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трансформатор тока;</w:t>
            </w:r>
            <w:r>
              <w:rPr>
                <w:b/>
                <w:iCs/>
                <w:sz w:val="22"/>
                <w:szCs w:val="22"/>
              </w:rPr>
            </w:r>
            <w:r>
              <w:rPr>
                <w:b/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Style w:val="1750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УХЛ</w:t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Style w:val="1750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климатическое исполнение «умеренный и холодный климат»;</w:t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  <w:r>
              <w:rPr>
                <w:rStyle w:val="1750"/>
                <w:b w:val="0"/>
                <w:bCs/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климатическое исполнение «умеренный</w:t>
            </w:r>
            <w:r>
              <w:rPr>
                <w:iCs/>
                <w:sz w:val="22"/>
                <w:szCs w:val="22"/>
              </w:rPr>
              <w:t xml:space="preserve">»;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 xml:space="preserve">MSK</w:t>
            </w:r>
            <w:r>
              <w:rPr>
                <w:iCs/>
                <w:sz w:val="22"/>
                <w:szCs w:val="22"/>
                <w:lang w:val="en-US"/>
              </w:rPr>
            </w:r>
            <w:r>
              <w:rPr>
                <w:iCs/>
                <w:sz w:val="22"/>
                <w:szCs w:val="22"/>
                <w:lang w:val="en-US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</w:pPr>
            <w:r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  <w:t xml:space="preserve">шкала интенсивности землетрясений Медведева – Шпонхойера – Карника.</w:t>
            </w:r>
            <w:r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</w:r>
            <w:r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 xml:space="preserve">IP</w:t>
            </w:r>
            <w:r>
              <w:rPr>
                <w:iCs/>
                <w:sz w:val="22"/>
                <w:szCs w:val="22"/>
                <w:lang w:val="en-US"/>
              </w:rPr>
            </w:r>
            <w:r>
              <w:rPr>
                <w:iCs/>
                <w:sz w:val="22"/>
                <w:szCs w:val="22"/>
                <w:lang w:val="en-US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</w:pPr>
            <w:r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  <w:t xml:space="preserve">Система кодификации, применяемая для обозначения степеней защиты, обеспечиваемых оболочкой, от доступа к опасным частям, попадания внешних твердых предметов, воды, а также для предоставления дополнительной информации, связанной с такой защитой.</w:t>
            </w:r>
            <w:r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</w:r>
            <w:r>
              <w:rPr>
                <w:rStyle w:val="1750"/>
                <w:b w:val="0"/>
                <w:i w:val="0"/>
                <w:iCs/>
                <w:sz w:val="22"/>
                <w:szCs w:val="22"/>
                <w:shd w:val="clear" w:color="auto" w:fill="auto"/>
              </w:rPr>
            </w:r>
          </w:p>
        </w:tc>
      </w:tr>
    </w:tbl>
    <w:p>
      <w:pPr>
        <w:pStyle w:val="1656"/>
      </w:pPr>
      <w:r/>
      <w:bookmarkStart w:id="9" w:name="_Toc191395476"/>
      <w:r>
        <w:t xml:space="preserve">Наименование </w:t>
      </w:r>
      <w:r>
        <w:t xml:space="preserve">закупаемой продукции</w:t>
      </w:r>
      <w:bookmarkEnd w:id="9"/>
      <w:r/>
      <w:r/>
    </w:p>
    <w:p>
      <w:pPr>
        <w:jc w:val="both"/>
        <w:spacing w:before="0" w:beforeAutospacing="0" w:after="0" w:afterAutospacing="0" w:line="276" w:lineRule="auto"/>
        <w:widowControl w:val="off"/>
        <w:tabs>
          <w:tab w:val="left" w:pos="426" w:leader="none"/>
        </w:tabs>
        <w:rPr>
          <w:rFonts w:eastAsia="Calibri"/>
          <w:i/>
        </w:rPr>
      </w:pPr>
      <w:r>
        <w:rPr>
          <w:rFonts w:eastAsia="Calibri"/>
          <w:i/>
          <w:sz w:val="24"/>
          <w:szCs w:val="24"/>
        </w:rPr>
        <w:t xml:space="preserve">«В</w:t>
      </w:r>
      <w:r>
        <w:rPr>
          <w:rFonts w:eastAsia="Calibri"/>
          <w:i/>
          <w:sz w:val="24"/>
          <w:szCs w:val="24"/>
        </w:rPr>
        <w:t xml:space="preserve">ысоковольтные выключатели 110кВ в рамках инвестиционных проектов для нужд СП Благовещенская ТЭЦ (I_505-АГ-53), СП Николаевская ТЭЦ (O_505-НТЭЦ-7) АО "ДГК"</w:t>
      </w:r>
      <w:r>
        <w:rPr>
          <w:rFonts w:eastAsia="Calibri"/>
          <w:i/>
          <w:sz w:val="24"/>
          <w:szCs w:val="24"/>
        </w:rPr>
        <w:t xml:space="preserve">»</w:t>
      </w:r>
      <w:r>
        <w:rPr>
          <w:rFonts w:eastAsia="Calibri"/>
          <w:i/>
        </w:rPr>
      </w:r>
      <w:r>
        <w:rPr>
          <w:rFonts w:eastAsia="Calibri"/>
          <w:i/>
        </w:rPr>
      </w:r>
    </w:p>
    <w:p>
      <w:pPr>
        <w:pStyle w:val="1656"/>
      </w:pPr>
      <w:r/>
      <w:bookmarkStart w:id="10" w:name="_Toc46743507"/>
      <w:r>
        <w:t xml:space="preserve">Цель</w:t>
      </w:r>
      <w:r>
        <w:t xml:space="preserve"> </w:t>
      </w:r>
      <w:bookmarkEnd w:id="10"/>
      <w:r>
        <w:t xml:space="preserve">использования закупаемой продукции </w:t>
      </w:r>
      <w:r/>
    </w:p>
    <w:p>
      <w:pPr>
        <w:jc w:val="both"/>
        <w:spacing w:line="276" w:lineRule="auto"/>
        <w:rPr>
          <w:bCs/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Выключатели закупаются в рамках реализации</w:t>
      </w:r>
      <w:r>
        <w:rPr>
          <w:i/>
          <w:iCs/>
          <w:sz w:val="24"/>
          <w:szCs w:val="24"/>
        </w:rPr>
        <w:t xml:space="preserve"> инвестиционных проектов для нужд </w:t>
      </w:r>
      <w:r>
        <w:rPr>
          <w:i/>
          <w:iCs/>
          <w:sz w:val="24"/>
          <w:szCs w:val="24"/>
        </w:rPr>
        <w:t xml:space="preserve">СП Благовещенская ТЭЦ (I_505-АГ-53), СП Николаевская ТЭЦ (O_505-НТЭЦ-7) АО "ДГК"</w:t>
      </w:r>
      <w:r>
        <w:rPr>
          <w:i/>
          <w:iCs/>
          <w:sz w:val="24"/>
          <w:szCs w:val="24"/>
        </w:rPr>
        <w:t xml:space="preserve">»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pStyle w:val="1653"/>
        <w:rPr>
          <w:caps/>
        </w:rPr>
      </w:pPr>
      <w:r/>
      <w:bookmarkStart w:id="21" w:name="_Toc51339693"/>
      <w:r/>
      <w:bookmarkStart w:id="22" w:name="_Toc191395481"/>
      <w:r>
        <w:t xml:space="preserve">Требования</w:t>
      </w:r>
      <w:r>
        <w:t xml:space="preserve"> к продукции</w:t>
      </w:r>
      <w:bookmarkEnd w:id="21"/>
      <w:r/>
      <w:bookmarkEnd w:id="22"/>
      <w:r>
        <w:rPr>
          <w:caps/>
        </w:rPr>
      </w:r>
      <w:r>
        <w:rPr>
          <w:caps/>
        </w:rPr>
      </w:r>
    </w:p>
    <w:p>
      <w:pPr>
        <w:pStyle w:val="1656"/>
      </w:pPr>
      <w:r/>
      <w:bookmarkStart w:id="23" w:name="_Toc191395482"/>
      <w:r>
        <w:t xml:space="preserve">Требования к объемам и срокам </w:t>
      </w:r>
      <w:r>
        <w:t xml:space="preserve">поставки</w:t>
      </w:r>
      <w:bookmarkEnd w:id="23"/>
      <w:r/>
      <w:r/>
    </w:p>
    <w:p>
      <w:pPr>
        <w:pStyle w:val="1655"/>
        <w:numPr>
          <w:ilvl w:val="2"/>
          <w:numId w:val="299"/>
        </w:numPr>
      </w:pPr>
      <w:r/>
      <w:bookmarkStart w:id="24" w:name="_Toc191395483"/>
      <w:r>
        <w:t xml:space="preserve">Перечень и объем закупаемой продукции</w:t>
      </w:r>
      <w:bookmarkEnd w:id="24"/>
      <w:r/>
      <w:r/>
    </w:p>
    <w:p>
      <w:pPr>
        <w:pStyle w:val="1784"/>
        <w:outlineLvl w:val="0"/>
      </w:pPr>
      <w:r/>
      <w:bookmarkStart w:id="25" w:name="_Toc51339695"/>
      <w:r/>
      <w:bookmarkStart w:id="26" w:name="_Toc191395484"/>
      <w:r>
        <w:t xml:space="preserve">Таблица </w:t>
      </w:r>
      <w:r>
        <w:t xml:space="preserve">1</w:t>
      </w:r>
      <w:r>
        <w:t xml:space="preserve">.</w:t>
      </w:r>
      <w:r>
        <w:t xml:space="preserve">1</w:t>
      </w:r>
      <w:r>
        <w:t xml:space="preserve"> </w:t>
      </w:r>
      <w:r>
        <w:t xml:space="preserve">Перечень </w:t>
      </w:r>
      <w:bookmarkEnd w:id="25"/>
      <w:r>
        <w:t xml:space="preserve">и объем закупаемой продукции</w:t>
      </w:r>
      <w:bookmarkEnd w:id="26"/>
      <w:r/>
      <w:r/>
    </w:p>
    <w:tbl>
      <w:tblPr>
        <w:tblW w:w="981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6126"/>
        <w:gridCol w:w="1418"/>
        <w:gridCol w:w="1413"/>
        <w:gridCol w:w="6"/>
      </w:tblGrid>
      <w:tr>
        <w:tblPrEx/>
        <w:trPr/>
        <w:tc>
          <w:tcPr>
            <w:tcW w:w="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141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</w:p>
        </w:tc>
        <w:tc>
          <w:tcPr>
            <w:tcW w:w="6126" w:type="dxa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Выключатель баковый элегазовый ВБ-110.IV-50/2500 УХЛ1 или эквивалент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Шт.</w:t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</w:p>
        </w:tc>
        <w:tc>
          <w:tcPr>
            <w:gridSpan w:val="2"/>
            <w:tcW w:w="1419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2.</w:t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</w:p>
        </w:tc>
        <w:tc>
          <w:tcPr>
            <w:tcW w:w="6126" w:type="dxa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Выключатель колонковый элегазовый ВГТ-УЭТМ-110IV-40/3150 ХЛ1 с выносными трансформаторами тока ТРГ-УЭТМ-110 (6шт)</w:t>
            </w:r>
            <w:r>
              <w:rPr>
                <w:sz w:val="24"/>
                <w:szCs w:val="24"/>
              </w:rPr>
              <w:t xml:space="preserve"> или эквивалент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Шт.</w:t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</w:p>
        </w:tc>
        <w:tc>
          <w:tcPr>
            <w:gridSpan w:val="2"/>
            <w:tcW w:w="1419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 w:val="0"/>
          <w:iCs w:val="0"/>
          <w:sz w:val="24"/>
          <w:szCs w:val="24"/>
          <w:shd w:val="clear" w:color="auto" w:fill="ffff99"/>
        </w:rPr>
      </w:pPr>
      <w:r>
        <w:rPr>
          <w:bCs/>
          <w:i w:val="0"/>
          <w:iCs w:val="0"/>
          <w:sz w:val="24"/>
          <w:szCs w:val="24"/>
          <w:shd w:val="clear" w:color="auto" w:fill="ffff99"/>
        </w:rPr>
      </w:r>
      <w:r>
        <w:rPr>
          <w:bCs/>
          <w:i w:val="0"/>
          <w:iCs w:val="0"/>
          <w:sz w:val="24"/>
          <w:szCs w:val="24"/>
          <w:shd w:val="clear" w:color="auto" w:fill="ffff99"/>
        </w:rPr>
      </w:r>
      <w:r>
        <w:rPr>
          <w:bCs/>
          <w:i w:val="0"/>
          <w:iCs w:val="0"/>
          <w:sz w:val="24"/>
          <w:szCs w:val="24"/>
          <w:shd w:val="clear" w:color="auto" w:fill="ffff99"/>
        </w:rPr>
      </w:r>
    </w:p>
    <w:p>
      <w:pPr>
        <w:pStyle w:val="1784"/>
        <w:rPr>
          <w:bCs w:val="0"/>
          <w:i w:val="0"/>
        </w:rPr>
        <w:outlineLvl w:val="0"/>
      </w:pPr>
      <w:r>
        <w:rPr>
          <w:i w:val="0"/>
          <w:iCs w:val="0"/>
        </w:rPr>
      </w:r>
      <w:bookmarkStart w:id="27" w:name="_Toc191395485"/>
      <w:r>
        <w:rPr>
          <w:i w:val="0"/>
          <w:iCs w:val="0"/>
        </w:rPr>
        <w:t xml:space="preserve">Таблица 1.2 Перечень и объем закупаемых сопутствующих услуг</w:t>
      </w:r>
      <w:bookmarkEnd w:id="27"/>
      <w:r>
        <w:rPr>
          <w:bCs w:val="0"/>
          <w:i w:val="0"/>
        </w:rPr>
      </w:r>
      <w:r>
        <w:rPr>
          <w:bCs w:val="0"/>
          <w:i w:val="0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845"/>
        <w:gridCol w:w="1559"/>
        <w:gridCol w:w="155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center"/>
              <w:keepNext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п/п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584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Наименование </w:t>
            </w:r>
            <w:r>
              <w:rPr>
                <w:i w:val="0"/>
                <w:iCs w:val="0"/>
                <w:sz w:val="24"/>
                <w:szCs w:val="24"/>
              </w:rPr>
              <w:t xml:space="preserve">услуг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Единица измерения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Количество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5845" w:type="dxa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1556" w:type="dxa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14"/>
              </w:numPr>
              <w:rPr>
                <w:bCs w:val="0"/>
                <w:i w:val="0"/>
              </w:rPr>
            </w:pPr>
            <w:r>
              <w:rPr>
                <w:i w:val="0"/>
                <w:iCs w:val="0"/>
              </w:rPr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  <w:tc>
          <w:tcPr>
            <w:tcW w:w="5845" w:type="dxa"/>
            <w:textDirection w:val="lrTb"/>
            <w:noWrap w:val="false"/>
          </w:tcPr>
          <w:p>
            <w:pPr>
              <w:rPr>
                <w:bCs w:val="0"/>
                <w:i w:val="0"/>
              </w:rPr>
            </w:pPr>
            <w:r>
              <w:rPr>
                <w:i w:val="0"/>
                <w:iCs w:val="0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Шеф-монтаж и шеф-наладка выключателя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бакового элегазового ВБ-110.IV-50/2500 УХЛ1 или эквивалента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Условная единица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1556" w:type="dxa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4"/>
              </w:numPr>
              <w:rPr>
                <w:bCs w:val="0"/>
                <w:i w:val="0"/>
              </w:rPr>
            </w:pPr>
            <w:r>
              <w:rPr>
                <w:i w:val="0"/>
                <w:iCs w:val="0"/>
              </w:rPr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  <w:tc>
          <w:tcPr>
            <w:tcW w:w="5845" w:type="dxa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Шеф-монтаж и шеф-наладка в</w:t>
            </w:r>
            <w:r>
              <w:rPr>
                <w:sz w:val="24"/>
                <w:szCs w:val="24"/>
              </w:rPr>
              <w:t xml:space="preserve">ыключателя колонкового элегазового ВГТ-УЭТМ-110IV-40/3150 ХЛ1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выносными трансформаторами тока ТРГ-УЭТМ-110 (6шт) </w:t>
            </w:r>
            <w:r>
              <w:rPr>
                <w:sz w:val="24"/>
                <w:szCs w:val="24"/>
              </w:rPr>
              <w:t xml:space="preserve">или эквивалента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Условная единица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1556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1655"/>
        <w:numPr>
          <w:ilvl w:val="2"/>
          <w:numId w:val="299"/>
        </w:numPr>
      </w:pPr>
      <w:r/>
      <w:bookmarkStart w:id="29" w:name="_Toc51339696"/>
      <w:r/>
      <w:bookmarkStart w:id="30" w:name="_Toc191395486"/>
      <w:r>
        <w:t xml:space="preserve">Требования </w:t>
      </w:r>
      <w:bookmarkEnd w:id="29"/>
      <w:r>
        <w:t xml:space="preserve">к </w:t>
      </w:r>
      <w:r>
        <w:t xml:space="preserve">срокам поставки продукции и </w:t>
      </w:r>
      <w:r>
        <w:t xml:space="preserve">оказания </w:t>
      </w:r>
      <w:r>
        <w:t xml:space="preserve">сопутствующих</w:t>
      </w:r>
      <w:r>
        <w:t xml:space="preserve"> услуг</w:t>
      </w:r>
      <w:bookmarkEnd w:id="30"/>
      <w:r/>
      <w:r/>
    </w:p>
    <w:p>
      <w:pPr>
        <w:pStyle w:val="1784"/>
        <w:outlineLvl w:val="0"/>
      </w:pPr>
      <w:r/>
      <w:bookmarkStart w:id="31" w:name="_Toc50125127"/>
      <w:r/>
      <w:bookmarkStart w:id="32" w:name="_Toc51339697"/>
      <w:r/>
      <w:bookmarkStart w:id="33" w:name="_Toc191395487"/>
      <w:r>
        <w:t xml:space="preserve">Таблица </w:t>
      </w:r>
      <w:r>
        <w:t xml:space="preserve">2</w:t>
      </w:r>
      <w:r>
        <w:t xml:space="preserve">.</w:t>
      </w:r>
      <w:r>
        <w:t xml:space="preserve">1</w:t>
      </w:r>
      <w:r>
        <w:t xml:space="preserve"> </w:t>
      </w:r>
      <w:bookmarkStart w:id="34" w:name="_Hlk50465284"/>
      <w:r>
        <w:t xml:space="preserve">Требования по срокам </w:t>
      </w:r>
      <w:bookmarkEnd w:id="31"/>
      <w:r/>
      <w:bookmarkEnd w:id="32"/>
      <w:r/>
      <w:bookmarkEnd w:id="34"/>
      <w:r>
        <w:t xml:space="preserve">поставки продукции</w:t>
      </w:r>
      <w:bookmarkEnd w:id="33"/>
      <w:r>
        <w:t xml:space="preserve"> </w:t>
      </w:r>
      <w:r/>
    </w:p>
    <w:tbl>
      <w:tblPr>
        <w:tblW w:w="9779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3"/>
        <w:gridCol w:w="2551"/>
        <w:gridCol w:w="2835"/>
      </w:tblGrid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Выключатель баковый элегазовый ВБ-110.IV-50/2500 УХЛ1 или эквивалент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 01.01.2027г.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Не позднее 30.06.2027г.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Выключатель колонковый элегазовый ВГТ-УЭТМ-110IV-40/3150 ХЛ1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выносными трансформаторами тока ТРГ-УЭТМ-110 (6шт) </w:t>
            </w:r>
            <w:r>
              <w:rPr>
                <w:sz w:val="24"/>
                <w:szCs w:val="24"/>
              </w:rPr>
              <w:t xml:space="preserve">или эквивалент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 01.01.2027г.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Не позднее 30.05.2027г.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r/>
      <w:r/>
    </w:p>
    <w:p>
      <w:r/>
      <w:bookmarkStart w:id="36" w:name="_Toc54785622"/>
      <w:r/>
      <w:r/>
    </w:p>
    <w:p>
      <w:pPr>
        <w:pStyle w:val="1784"/>
        <w:outlineLvl w:val="0"/>
      </w:pPr>
      <w:r/>
      <w:bookmarkStart w:id="38" w:name="_Toc191395488"/>
      <w:r>
        <w:t xml:space="preserve">Таблица 2.2 Требования по срокам </w:t>
      </w:r>
      <w:r>
        <w:t xml:space="preserve">оказания </w:t>
      </w:r>
      <w:r>
        <w:t xml:space="preserve">сопутствующих услуг</w:t>
      </w:r>
      <w:bookmarkEnd w:id="36"/>
      <w:r/>
      <w:bookmarkEnd w:id="38"/>
      <w:r/>
      <w:r/>
    </w:p>
    <w:tbl>
      <w:tblPr>
        <w:tblW w:w="9776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414"/>
        <w:gridCol w:w="2835"/>
        <w:gridCol w:w="2126"/>
        <w:gridCol w:w="1414"/>
      </w:tblGrid>
      <w:tr>
        <w:tblPrEx/>
        <w:trPr/>
        <w:tc>
          <w:tcPr>
            <w:shd w:val="clear" w:color="auto" w:fill="auto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4" w:type="dxa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4" w:type="dxa"/>
            <w:textDirection w:val="lrTb"/>
            <w:noWrap w:val="false"/>
          </w:tcPr>
          <w:p>
            <w:pPr>
              <w:pStyle w:val="1748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7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414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Шеф-монтаж и шеф-наладка в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ыключателя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бакового элегазового ВБ-110.IV-50/2500 УХЛ1 или эквивалента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С момента уведомления Поставщика о проведении всех необходимых подготовительных мероприятий для выполнения работ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eastAsia="Arial Unicode MS"/>
                <w:color w:val="000000"/>
                <w:sz w:val="24"/>
                <w:szCs w:val="24"/>
                <w:lang w:val="ru"/>
              </w:rPr>
              <w:t xml:space="preserve">В течение 30 (тридцать) календарных дней после получения уведомления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1414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7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414" w:type="dxa"/>
            <w:textDirection w:val="lrTb"/>
            <w:noWrap w:val="false"/>
          </w:tcPr>
          <w:p>
            <w:pPr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Шеф-монтаж и шеф-наладка в</w:t>
            </w:r>
            <w:r>
              <w:rPr>
                <w:sz w:val="24"/>
                <w:szCs w:val="24"/>
              </w:rPr>
              <w:t xml:space="preserve">ыключателя колонкового элегазового ВГТ-УЭТМ-110IV-40/3150 ХЛ1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выносными трансформаторами тока ТРГ-УЭТМ-110 (6шт) </w:t>
            </w:r>
            <w:r>
              <w:rPr>
                <w:sz w:val="24"/>
                <w:szCs w:val="24"/>
              </w:rPr>
              <w:t xml:space="preserve">или эквивалента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С момента уведомления Поставщика о проведении всех необходимых подготовительных мероприятий для выполнения работ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eastAsia="Arial Unicode MS"/>
                <w:color w:val="000000"/>
                <w:sz w:val="24"/>
                <w:szCs w:val="24"/>
                <w:lang w:val="ru"/>
              </w:rPr>
              <w:t xml:space="preserve">В течение 30 (тридцать) календарных дней после получения уведомления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1414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erReference w:type="default" r:id="rId12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656"/>
      </w:pPr>
      <w:r/>
      <w:bookmarkStart w:id="39" w:name="_Toc46743511"/>
      <w:r/>
      <w:bookmarkStart w:id="41" w:name="_Toc191395489"/>
      <w:r>
        <w:t xml:space="preserve">Требования к </w:t>
      </w:r>
      <w:bookmarkEnd w:id="39"/>
      <w:r>
        <w:t xml:space="preserve">качеству продукции</w:t>
      </w:r>
      <w:bookmarkEnd w:id="41"/>
      <w:r/>
      <w:r/>
    </w:p>
    <w:p>
      <w:pPr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iCs/>
          <w:sz w:val="24"/>
          <w:szCs w:val="24"/>
          <w:highlight w:val="none"/>
        </w:rPr>
        <w:t xml:space="preserve">Таблица 3.1. </w:t>
      </w:r>
      <w:r>
        <w:rPr>
          <w:b/>
          <w:bCs/>
          <w:i/>
          <w:iCs/>
          <w:sz w:val="24"/>
          <w:szCs w:val="24"/>
          <w:highlight w:val="green"/>
        </w:rPr>
        <w:t xml:space="preserve">Наименование продукции (позиция №1 </w:t>
      </w:r>
      <w:r>
        <w:rPr>
          <w:b/>
          <w:bCs/>
          <w:i/>
          <w:iCs/>
          <w:sz w:val="24"/>
          <w:szCs w:val="24"/>
          <w:highlight w:val="green"/>
        </w:rPr>
        <w:t xml:space="preserve">Таблицы 1.1</w:t>
      </w:r>
      <w:r>
        <w:rPr>
          <w:b/>
          <w:bCs/>
          <w:i/>
          <w:iCs/>
          <w:sz w:val="24"/>
          <w:szCs w:val="24"/>
          <w:highlight w:val="green"/>
        </w:rPr>
        <w:t xml:space="preserve">):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 xml:space="preserve">Выключатель баковый элегазовый ВБ-110.IV-50/2500 УХЛ1 </w:t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jc w:val="both"/>
        <w:rPr>
          <w:b/>
          <w:bCs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  <w:t xml:space="preserve">или эквивалента (для СП «Николаевская ТЭЦ»)</w:t>
      </w:r>
      <w:r>
        <w:rPr>
          <w:b/>
          <w:bCs/>
        </w:rPr>
      </w:r>
      <w:r>
        <w:rPr>
          <w:b/>
          <w:bCs/>
        </w:rPr>
      </w:r>
    </w:p>
    <w:tbl>
      <w:tblPr>
        <w:tblStyle w:val="1676"/>
        <w:tblpPr w:horzAnchor="text" w:tblpXSpec="left" w:vertAnchor="text" w:tblpY="1" w:leftFromText="180" w:topFromText="0" w:rightFromText="180" w:bottomFromText="0"/>
        <w:tblW w:w="14740" w:type="dxa"/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2409"/>
        <w:gridCol w:w="1984"/>
        <w:gridCol w:w="3618"/>
        <w:gridCol w:w="2193"/>
      </w:tblGrid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6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</w:t>
            </w:r>
            <w:r>
              <w:rPr>
                <w:b/>
                <w:bCs/>
                <w:sz w:val="24"/>
                <w:szCs w:val="24"/>
              </w:rPr>
              <w:t xml:space="preserve">на этапе </w:t>
            </w:r>
            <w:r>
              <w:rPr>
                <w:b/>
                <w:bCs/>
                <w:sz w:val="24"/>
                <w:szCs w:val="24"/>
              </w:rPr>
              <w:t xml:space="preserve">закупки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9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6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</w:t>
            </w:r>
            <w:r>
              <w:rPr>
                <w:b/>
                <w:sz w:val="24"/>
                <w:szCs w:val="24"/>
              </w:rPr>
              <w:t xml:space="preserve">выключателя </w:t>
            </w:r>
            <w:r>
              <w:rPr>
                <w:b/>
                <w:sz w:val="24"/>
                <w:szCs w:val="24"/>
              </w:rPr>
              <w:t xml:space="preserve">(включая гарантируемые показатели)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выключателя по принципу устройства / по размещению ДГУ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Элегазовый 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баковый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Декларация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_Ref184912253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2.2.1.2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Номинальная частота, Гц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81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81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Декларация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_Ref184912253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2.2.1.2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кВ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1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25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кВ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1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ток, А,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1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 отключения, кА,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привода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Пружинный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 термической стойкости, кА</w:t>
            </w:r>
            <w:r>
              <w:rPr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1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протекания тока термической стойкости, с.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1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электродинамической стойкости, кА</w:t>
            </w:r>
            <w:r>
              <w:rPr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1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1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Наибольший пик тока включения, кА,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Начальное действующее значение периодической составляющей тока включения, кА,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апериодической составляющей, %,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Емкостной ток ненагруженных линий, отключаемый без повторных пробоев, А, не более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2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Нормированный ток отключения в условиях рассогласования фаз, кА, не менее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6,25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Коммутационный ресурс, операций О (В),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20 (10)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Нормированные коммутационные циклы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цикл 1: О - </w:t>
            </w:r>
            <w:r>
              <w:rPr>
                <w:sz w:val="24"/>
                <w:szCs w:val="24"/>
                <w:lang w:val="en-US"/>
              </w:rPr>
              <w:t xml:space="preserve">t</w:t>
            </w:r>
            <w:r>
              <w:rPr>
                <w:sz w:val="24"/>
                <w:szCs w:val="24"/>
              </w:rPr>
              <w:t xml:space="preserve">бт</w:t>
            </w:r>
            <w:r>
              <w:rPr>
                <w:sz w:val="24"/>
                <w:szCs w:val="24"/>
              </w:rPr>
              <w:t xml:space="preserve"> - ВО - 180с - ВО;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цикл 2: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 - 180с - ВО - 180с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</w:t>
            </w:r>
            <w:r>
              <w:rPr>
                <w:sz w:val="24"/>
                <w:szCs w:val="24"/>
              </w:rPr>
              <w:t xml:space="preserve">естоковая пауза при АПВ</w:t>
            </w:r>
            <w:r>
              <w:rPr>
                <w:sz w:val="24"/>
                <w:szCs w:val="24"/>
              </w:rPr>
              <w:t xml:space="preserve">, сек.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Разновременность включения полюсов, с</w:t>
            </w:r>
            <w:r>
              <w:rPr>
                <w:sz w:val="24"/>
                <w:szCs w:val="24"/>
              </w:rPr>
              <w:t xml:space="preserve">ек.</w:t>
            </w:r>
            <w:r>
              <w:rPr>
                <w:sz w:val="24"/>
                <w:szCs w:val="24"/>
              </w:rPr>
              <w:t xml:space="preserve">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Разновременность отключения полюсов, с</w:t>
            </w:r>
            <w:r>
              <w:rPr>
                <w:sz w:val="24"/>
                <w:szCs w:val="24"/>
              </w:rPr>
              <w:t xml:space="preserve">ек.</w:t>
            </w:r>
            <w:r>
              <w:rPr>
                <w:sz w:val="24"/>
                <w:szCs w:val="24"/>
              </w:rPr>
              <w:t xml:space="preserve">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азница между моментами размыкания контактов разрывов одного полюса</w:t>
            </w:r>
            <w:r>
              <w:rPr>
                <w:sz w:val="24"/>
                <w:szCs w:val="24"/>
              </w:rPr>
              <w:t xml:space="preserve">, сек.,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Механический ресурс, циклов В-tп-О, операций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10000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 цепей управления (постоянный ток), Uп.ном.,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Диапазон изменения напряжения постоянного тока цепей управления, </w:t>
            </w:r>
            <w:r>
              <w:rPr>
                <w:sz w:val="24"/>
                <w:szCs w:val="24"/>
              </w:rPr>
              <w:t xml:space="preserve">% от номинального значения, не менее: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ab/>
              <w:t xml:space="preserve">для цепей отключения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ab/>
              <w:t xml:space="preserve">для цепей включения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 – 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85 – 105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Минимальное н</w:t>
            </w:r>
            <w:r>
              <w:rPr>
                <w:sz w:val="24"/>
                <w:szCs w:val="24"/>
                <w:highlight w:val="white"/>
              </w:rPr>
              <w:t xml:space="preserve">апряжение срабатывания электромагнитов управления, В, не </w:t>
            </w:r>
            <w:r>
              <w:rPr>
                <w:sz w:val="24"/>
                <w:szCs w:val="24"/>
                <w:highlight w:val="white"/>
              </w:rPr>
              <w:t xml:space="preserve">более: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-электромагниты отключения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  <w:t xml:space="preserve">электромагниты включения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  <w:t xml:space="preserve">0,7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U</w:t>
            </w:r>
            <w:r>
              <w:rPr>
                <w:sz w:val="24"/>
                <w:szCs w:val="24"/>
                <w:highlight w:val="white"/>
              </w:rPr>
              <w:t xml:space="preserve">п.ном.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white"/>
              </w:rPr>
              <w:t xml:space="preserve">0,85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U</w:t>
            </w:r>
            <w:r>
              <w:rPr>
                <w:sz w:val="24"/>
                <w:szCs w:val="24"/>
                <w:highlight w:val="white"/>
              </w:rPr>
              <w:t xml:space="preserve">п.ном. 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питания обогревателей</w:t>
            </w:r>
            <w:r>
              <w:rPr>
                <w:sz w:val="24"/>
                <w:szCs w:val="24"/>
              </w:rPr>
              <w:t xml:space="preserve"> (переменный ток)</w:t>
            </w:r>
            <w:r>
              <w:rPr>
                <w:sz w:val="24"/>
                <w:szCs w:val="24"/>
              </w:rPr>
              <w:t xml:space="preserve">, 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Номинальная мощность подогревательных устройств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переменный ток)</w:t>
            </w:r>
            <w:r>
              <w:rPr>
                <w:sz w:val="24"/>
                <w:szCs w:val="24"/>
              </w:rPr>
              <w:t xml:space="preserve">, Вт, не менее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-антиконденсатный обогрев привода;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-основной обогрев привода;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-основной обогрев трех полюсов выключателя;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50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800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6600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ind w:left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red"/>
              </w:rPr>
            </w:pPr>
            <w:r>
              <w:rPr>
                <w:rFonts w:eastAsia="Calibri"/>
                <w:sz w:val="24"/>
                <w:szCs w:val="24"/>
                <w:highlight w:val="red"/>
              </w:rPr>
            </w:r>
            <w:r>
              <w:rPr>
                <w:rFonts w:eastAsia="Calibri"/>
                <w:sz w:val="24"/>
                <w:szCs w:val="24"/>
                <w:highlight w:val="red"/>
              </w:rPr>
            </w:r>
            <w:r>
              <w:rPr>
                <w:rFonts w:eastAsia="Calibri"/>
                <w:sz w:val="24"/>
                <w:szCs w:val="24"/>
                <w:highlight w:val="red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  <w:highlight w:val="none"/>
              </w:rPr>
              <w:t xml:space="preserve">Номинальное </w:t>
            </w:r>
            <w:r>
              <w:rPr>
                <w:sz w:val="24"/>
                <w:szCs w:val="24"/>
              </w:rPr>
              <w:t xml:space="preserve">питания электродвигателей привода </w:t>
            </w:r>
            <w:r>
              <w:rPr>
                <w:sz w:val="24"/>
                <w:szCs w:val="24"/>
              </w:rPr>
              <w:t xml:space="preserve">(переменный ток</w:t>
            </w:r>
            <w:r>
              <w:rPr>
                <w:sz w:val="24"/>
                <w:szCs w:val="24"/>
              </w:rPr>
              <w:t xml:space="preserve">), Uп.ном.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  <w:highlight w:val="red"/>
              </w:rPr>
            </w:r>
            <w:r>
              <w:rPr>
                <w:sz w:val="24"/>
                <w:szCs w:val="24"/>
                <w:highlight w:val="red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  <w:highlight w:val="none"/>
              </w:rPr>
              <w:t xml:space="preserve">230</w:t>
            </w:r>
            <w:r>
              <w:rPr>
                <w:sz w:val="24"/>
                <w:szCs w:val="24"/>
                <w:highlight w:val="red"/>
              </w:rPr>
            </w:r>
            <w:r>
              <w:rPr>
                <w:sz w:val="24"/>
                <w:szCs w:val="24"/>
                <w:highlight w:val="red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red"/>
              </w:rPr>
            </w:r>
            <w:r>
              <w:rPr>
                <w:sz w:val="24"/>
                <w:szCs w:val="24"/>
                <w:highlight w:val="red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76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red"/>
              </w:rPr>
            </w:pPr>
            <w:r>
              <w:rPr>
                <w:rFonts w:eastAsia="Calibri"/>
                <w:sz w:val="24"/>
                <w:szCs w:val="24"/>
                <w:highlight w:val="red"/>
              </w:rPr>
            </w:r>
            <w:r>
              <w:rPr>
                <w:rFonts w:eastAsia="Calibri"/>
                <w:sz w:val="24"/>
                <w:szCs w:val="24"/>
                <w:highlight w:val="red"/>
              </w:rPr>
            </w:r>
            <w:r>
              <w:rPr>
                <w:rFonts w:eastAsia="Calibri"/>
                <w:sz w:val="24"/>
                <w:szCs w:val="24"/>
                <w:highlight w:val="red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Ток, потребляемый электродвигателем привода (пусковой/установившийся), А, не более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6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5811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электрической прочности изоляции</w:t>
            </w:r>
            <w:r>
              <w:rPr>
                <w:b/>
                <w:bCs/>
                <w:sz w:val="24"/>
                <w:szCs w:val="24"/>
              </w:rPr>
              <w:t xml:space="preserve">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изоляции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Испытательное напряжение полного грозового импульса, кВ</w:t>
            </w:r>
            <w:r>
              <w:rPr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относительно земли выключателя между </w:t>
            </w:r>
            <w:r>
              <w:rPr>
                <w:sz w:val="24"/>
                <w:szCs w:val="24"/>
              </w:rPr>
              <w:t xml:space="preserve">контактами полюса выключателя - </w:t>
            </w:r>
            <w:r>
              <w:rPr>
                <w:sz w:val="24"/>
                <w:szCs w:val="24"/>
              </w:rPr>
              <w:t xml:space="preserve">450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между контактами полюса выключателя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повышенным уровнем изоляции - </w:t>
            </w:r>
            <w:r>
              <w:rPr>
                <w:sz w:val="24"/>
                <w:szCs w:val="24"/>
              </w:rPr>
              <w:t xml:space="preserve">520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Кратковременное (одноминутное) переменное напряжение, кВ</w:t>
            </w:r>
            <w:r>
              <w:rPr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1"/>
              </w:numPr>
              <w:ind w:left="237" w:hanging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сухом состоянии относительно земли, </w:t>
            </w:r>
            <w:r>
              <w:rPr>
                <w:sz w:val="24"/>
                <w:szCs w:val="24"/>
              </w:rPr>
              <w:t xml:space="preserve">между полюсами и между контактами полюса выключателя - </w:t>
            </w:r>
            <w:r>
              <w:rPr>
                <w:sz w:val="24"/>
                <w:szCs w:val="24"/>
              </w:rPr>
              <w:t xml:space="preserve">230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71"/>
              </w:numPr>
              <w:ind w:left="237" w:hanging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 дождем относительно земли, между полюсами и между контактами полюса выключателя - </w:t>
            </w:r>
            <w:r>
              <w:rPr>
                <w:sz w:val="24"/>
                <w:szCs w:val="24"/>
              </w:rPr>
              <w:t xml:space="preserve">200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2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2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Удельная длина пути утечки внешней изоляции, см/кВ, не менее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2,2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5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separate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2.2.1.1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end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  <w:highlight w:val="red"/>
              </w:rPr>
            </w:r>
            <w:r>
              <w:rPr>
                <w:sz w:val="24"/>
                <w:szCs w:val="24"/>
                <w:highlight w:val="red"/>
              </w:rPr>
            </w:r>
            <w:r>
              <w:rPr>
                <w:sz w:val="24"/>
                <w:szCs w:val="24"/>
                <w:highlight w:val="red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5811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т</w:t>
            </w:r>
            <w:r>
              <w:rPr>
                <w:b/>
                <w:bCs/>
                <w:sz w:val="24"/>
                <w:szCs w:val="24"/>
              </w:rPr>
              <w:t xml:space="preserve">рансформатор</w:t>
            </w:r>
            <w:r>
              <w:rPr>
                <w:b/>
                <w:bCs/>
                <w:sz w:val="24"/>
                <w:szCs w:val="24"/>
              </w:rPr>
              <w:t xml:space="preserve">у</w:t>
            </w:r>
            <w:r>
              <w:rPr>
                <w:b/>
                <w:bCs/>
                <w:sz w:val="24"/>
                <w:szCs w:val="24"/>
              </w:rPr>
              <w:t xml:space="preserve"> тока</w:t>
            </w:r>
            <w:r>
              <w:rPr>
                <w:b/>
                <w:bCs/>
                <w:sz w:val="24"/>
                <w:szCs w:val="24"/>
              </w:rPr>
              <w:t xml:space="preserve">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// 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// 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// 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Количество трансформаторов тока</w:t>
            </w:r>
            <w:r>
              <w:rPr>
                <w:b w:val="0"/>
                <w:bCs w:val="0"/>
                <w:sz w:val="24"/>
                <w:szCs w:val="24"/>
              </w:rPr>
              <w:t xml:space="preserve">, шт.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6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77"/>
              </w:numPr>
              <w:ind w:left="229" w:hanging="229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separate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2.2.1.1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end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Категория изоляции по ГОСТ 9920-89, не ниже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pStyle w:val="1652"/>
              <w:jc w:val="left"/>
              <w:spacing w:before="0" w:after="0"/>
              <w:widowControl w:val="off"/>
              <w:rPr>
                <w:sz w:val="24"/>
                <w:szCs w:val="24"/>
                <w:highlight w:val="white"/>
                <w:shd w:val="clear" w:color="auto" w:fill="81d41a"/>
              </w:rPr>
            </w:pPr>
            <w:r>
              <w:rPr>
                <w:sz w:val="24"/>
                <w:szCs w:val="24"/>
                <w:highlight w:val="white"/>
                <w:shd w:val="clear" w:color="auto" w:fill="81d41a"/>
                <w:lang w:val="ru-RU" w:eastAsia="ru-RU" w:bidi="ar-SA"/>
              </w:rPr>
              <w:t xml:space="preserve">III (3)</w:t>
            </w:r>
            <w:r>
              <w:rPr>
                <w:sz w:val="24"/>
                <w:szCs w:val="24"/>
                <w:highlight w:val="white"/>
                <w:shd w:val="clear" w:color="auto" w:fill="81d41a"/>
              </w:rPr>
            </w:r>
            <w:r>
              <w:rPr>
                <w:sz w:val="24"/>
                <w:szCs w:val="24"/>
                <w:highlight w:val="white"/>
                <w:shd w:val="clear" w:color="auto" w:fill="81d41a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16"/>
              </w:numPr>
              <w:ind w:left="229" w:hanging="229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separate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2.2.1.1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end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вторичных обмоток на полюс, 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первичный ток, 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400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400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600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600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_Ref184912356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2.2.1.5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2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</w:rPr>
              <w:t xml:space="preserve">Номинальный вторичный ток, 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3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_Ref184912356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2.2.1.5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точности: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защиты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5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76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176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_Ref184912356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2.2.1.5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точности: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измерений и учета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0,2S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77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177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_Ref184912356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2.2.1.5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Номинальная нагрузка, 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78"/>
              </w:numPr>
              <w:ind w:left="237" w:hanging="237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для учета электроэнергии - </w:t>
            </w:r>
            <w:r>
              <w:rPr>
                <w:sz w:val="24"/>
                <w:szCs w:val="24"/>
                <w:highlight w:val="white"/>
              </w:rPr>
              <w:t xml:space="preserve">30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178"/>
              </w:numPr>
              <w:ind w:left="237" w:hanging="237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для измерений - 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30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178"/>
              </w:numPr>
              <w:ind w:left="237" w:hanging="237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для защиты - 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79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179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_Ref184912356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2.2.1.5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Тип внешней изоляции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литая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118"/>
              </w:numPr>
              <w:ind w:left="229" w:hanging="229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separate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2.2.1.1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fldChar w:fldCharType="end"/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Климатическое исполнение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УХЛ1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19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Номинальная предельная кратность вторичных обмоток для защиты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15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(п. </w:t>
            </w:r>
            <w:r>
              <w:rPr>
                <w:sz w:val="24"/>
                <w:szCs w:val="24"/>
              </w:rPr>
              <w:t xml:space="preserve">2.2.1.4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Коэффициент безопасности приборов обмоток для измерений и учета электроэнергии, не более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5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_Ref184912356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2.2.1.5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Защитные обмотки трансформаторов тока должны обеспечивать заданный классом точности предел погрешности в переходных режимах, включая цикл АПВ, в том числе и не успешной АПВ «КЗ – отключение–пауза 1с включение (успешное и неуспешное на КЗ»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безопасности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28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Степень защищенности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en-US"/>
              </w:rPr>
              <w:t xml:space="preserve">IP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  <w:lang w:val="en-US"/>
              </w:rPr>
              <w:t xml:space="preserve">54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3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Газоотводы,</w:t>
            </w:r>
            <w:r>
              <w:rPr>
                <w:bCs/>
                <w:sz w:val="24"/>
                <w:szCs w:val="24"/>
                <w:highlight w:val="white"/>
              </w:rPr>
              <w:t xml:space="preserve"> в</w:t>
            </w:r>
            <w:r>
              <w:rPr>
                <w:bCs/>
                <w:sz w:val="24"/>
                <w:szCs w:val="24"/>
                <w:highlight w:val="white"/>
              </w:rPr>
              <w:t xml:space="preserve">ыхлопные и предохранительные устройства выключателей должны быть расположены так, чтобы выброс жидкости или газа был направлен в сторону от места, где может находиться обслуживающий персонал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3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Выключатель (полюс выключателя) должен иметь контактную площадку для подсоединения заземляющего проводника и заземляющий зажим (зажимы) с указанием знака заземления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3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Соответствие требованиям ГОСТ 12.2.007.3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Декларация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_Ref184912253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2.2.1.2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конструкции, изготовлению и материалам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Конструктивное исполнение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трехполюсный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3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Тип изоляции вводов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фарфор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67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Выключатель с приводами и опорными металлоконструкциями (в случае если это предусмотрено настоящими ТТ)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3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металлоконструкций, мм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sz w:val="24"/>
                <w:szCs w:val="24"/>
                <w:highlight w:val="none"/>
              </w:rPr>
              <w:t xml:space="preserve">В соответствии с Приложением 1.3 к Техническим требованиям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3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Площадка обслуживания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3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39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781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Допустимая величина механической нагрузки от тяжения проводов в горизо</w:t>
            </w:r>
            <w:r>
              <w:rPr>
                <w:bCs/>
                <w:sz w:val="24"/>
                <w:szCs w:val="24"/>
                <w:highlight w:val="white"/>
              </w:rPr>
              <w:t xml:space="preserve">нтальной плоскости, Н, не менее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1"/>
              </w:numPr>
              <w:ind w:left="237" w:hanging="237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направление А</w:t>
            </w:r>
            <w:r>
              <w:rPr>
                <w:bCs/>
                <w:sz w:val="24"/>
                <w:szCs w:val="24"/>
                <w:highlight w:val="white"/>
              </w:rPr>
              <w:t xml:space="preserve">: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1000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1"/>
              </w:numPr>
              <w:ind w:left="237" w:hanging="237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направление В: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750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3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45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Расход на утечки </w:t>
            </w:r>
            <w:r>
              <w:rPr>
                <w:bCs/>
                <w:sz w:val="24"/>
                <w:szCs w:val="24"/>
                <w:highlight w:val="white"/>
              </w:rPr>
              <w:t xml:space="preserve">газа или газовой смеси</w:t>
            </w:r>
            <w:r>
              <w:rPr>
                <w:bCs/>
                <w:sz w:val="24"/>
                <w:szCs w:val="24"/>
                <w:highlight w:val="white"/>
              </w:rPr>
              <w:t xml:space="preserve">, %, не более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0,5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3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3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Масса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выключателя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, кг, не более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highlight w:val="white"/>
              </w:rPr>
              <w:t xml:space="preserve">Согласно предложению завода -изготовителя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</w:rPr>
              <w:t xml:space="preserve">Масса </w:t>
            </w:r>
            <w:r>
              <w:rPr>
                <w:bCs/>
                <w:sz w:val="24"/>
                <w:szCs w:val="24"/>
              </w:rPr>
              <w:t xml:space="preserve">элегаза, газовой смеси/масла</w:t>
            </w:r>
            <w:r>
              <w:rPr>
                <w:bCs/>
                <w:sz w:val="24"/>
                <w:szCs w:val="24"/>
              </w:rPr>
              <w:t xml:space="preserve">, кг, не менее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Габаритные размеры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выключателя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, Д/В/Ш, 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В соответствии с </w:t>
            </w:r>
            <w:r>
              <w:rPr>
                <w:i/>
                <w:iCs/>
                <w:sz w:val="24"/>
                <w:szCs w:val="24"/>
                <w:highlight w:val="white"/>
                <w:shd w:val="clear" w:color="auto" w:fill="ffff99"/>
              </w:rPr>
              <w:t xml:space="preserve">Приложением №1.3 к Техническим требованиям (установка выключателя на уже имеющийся фундамент)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4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Межполюсное расстояние полюсов выключателя, 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1,4 (+/-0,15)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4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климатическому исполнению и стойкости к воздействующим климатическим факторам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Климатическое исполнение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УХЛ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Категория размещения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Верхнее рабочее значение температуры окружающего воздуха, °С, для климатических исполнений и категорий размещения, не менее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плюс 40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Нижнее рабочее значение температуры окружающего воздуха, °С, для климатических исполнений и категорий размещения, не менее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i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инус 60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Высота над уровнем моря, м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до 1000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Толщина стенки гололеда, мм, не менее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20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Допустимая скорость ветра при наличии гололеда, м/с, не менее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15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Допустимая скорость ветра при отсутствии гололеда, м/с, не менее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40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Сейсмостойкость, баллов по шкале MSK-64, не менее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sz w:val="24"/>
                <w:szCs w:val="24"/>
                <w:highlight w:val="white"/>
              </w:rPr>
            </w:pP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Требования к качеству поставляемой продукции: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</w:t>
            </w:r>
            <w:r>
              <w:rPr>
                <w:b/>
                <w:sz w:val="24"/>
                <w:szCs w:val="24"/>
                <w:highlight w:val="white"/>
              </w:rPr>
              <w:t xml:space="preserve">//</w:t>
            </w:r>
            <w:r>
              <w:rPr>
                <w:b/>
                <w:sz w:val="24"/>
                <w:szCs w:val="24"/>
                <w:highlight w:val="white"/>
              </w:rPr>
              <w:t xml:space="preserve">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Продукция должна быть </w:t>
            </w:r>
            <w:r>
              <w:rPr>
                <w:sz w:val="24"/>
                <w:szCs w:val="24"/>
                <w:highlight w:val="white"/>
              </w:rPr>
              <w:t xml:space="preserve">новая</w:t>
            </w:r>
            <w:r>
              <w:rPr>
                <w:rStyle w:val="1669"/>
                <w:sz w:val="24"/>
                <w:szCs w:val="24"/>
                <w:highlight w:val="white"/>
              </w:rPr>
              <w:footnoteReference w:id="3"/>
            </w:r>
            <w:r>
              <w:rPr>
                <w:sz w:val="24"/>
                <w:szCs w:val="24"/>
                <w:highlight w:val="white"/>
              </w:rPr>
              <w:t xml:space="preserve">, ранее не используемая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0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д выпуска продукции (оборудования)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Не ранее 2026</w:t>
            </w:r>
            <w:r>
              <w:rPr>
                <w:sz w:val="24"/>
                <w:szCs w:val="24"/>
                <w:highlight w:val="white"/>
              </w:rPr>
              <w:t xml:space="preserve"> 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</w:t>
            </w:r>
            <w:r>
              <w:rPr>
                <w:sz w:val="24"/>
                <w:szCs w:val="24"/>
                <w:highlight w:val="white"/>
              </w:rPr>
              <w:t xml:space="preserve">характеристик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sz w:val="24"/>
                <w:szCs w:val="24"/>
                <w:highlight w:val="white"/>
              </w:rPr>
            </w:pP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Требования к доставке,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маркировке, упаковке, транспортировке, перемещению, условиям хранения, приемке и испытаниям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поставки продукции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АО "ДГК" СП "Николаевская ТЭЦ", 682469, Хабаровский край, г.Николаевск-на-Амуре, ул.Невельского, 24, ИНН/КПП 1434031363/270532001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40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Выключатель</w:t>
            </w:r>
            <w:r>
              <w:rPr>
                <w:sz w:val="24"/>
                <w:szCs w:val="24"/>
                <w:highlight w:val="white"/>
              </w:rPr>
              <w:t xml:space="preserve"> долж</w:t>
            </w:r>
            <w:r>
              <w:rPr>
                <w:sz w:val="24"/>
                <w:szCs w:val="24"/>
                <w:highlight w:val="white"/>
              </w:rPr>
              <w:t xml:space="preserve">ен</w:t>
            </w:r>
            <w:r>
              <w:rPr>
                <w:sz w:val="24"/>
                <w:szCs w:val="24"/>
                <w:highlight w:val="white"/>
              </w:rPr>
              <w:t xml:space="preserve"> иметь табличку по ГОСТ 12969-67</w:t>
            </w:r>
            <w:r>
              <w:rPr>
                <w:sz w:val="24"/>
                <w:szCs w:val="24"/>
                <w:highlight w:val="white"/>
              </w:rPr>
              <w:t xml:space="preserve"> и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ГОСТ 12971</w:t>
            </w:r>
            <w:r>
              <w:rPr>
                <w:sz w:val="24"/>
                <w:szCs w:val="24"/>
                <w:highlight w:val="white"/>
              </w:rPr>
              <w:t xml:space="preserve">-67,</w:t>
            </w:r>
            <w:r>
              <w:rPr>
                <w:sz w:val="24"/>
                <w:szCs w:val="24"/>
                <w:highlight w:val="white"/>
              </w:rPr>
              <w:t xml:space="preserve"> содержащую следующие данные: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товарный знак или наименование предприятия-изготовителя;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изделия ("Выключатель");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тип выключателя в соответствии с п.5.3 </w:t>
            </w:r>
            <w:r>
              <w:rPr>
                <w:sz w:val="24"/>
                <w:szCs w:val="24"/>
                <w:highlight w:val="white"/>
              </w:rPr>
              <w:t xml:space="preserve">ГОСТ Р 52565-2006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обозначение климатического исполнения и категории размещения по ГОСТ 15150;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порядковый номер по системе нумерации предприятия-изготовителя;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номинальное напряжение в киловольтах;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номинальный ток в амперах;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номинальный ток отключения в килоамперах;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давление заполнения газа (смеси газов) в мегапаскалях (и рядом в скобках - в килограмм-силах на квадратный сантиметр) при 20 °С - для газовых выключателей;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масса выключателя в килограммах;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обозначение настоящего стандарта или ТУ;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2"/>
              </w:numPr>
              <w:ind w:left="0" w:firstLine="0"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 изготовления (год выпуска) выключателя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Транспортная маркировка грузов - по ГОСТ 14192-77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Выключатели или их части (при транспортировании выключателей в частично разобранном виде) должны быть упакованы для транспортирования в плотные или решетчатые ящики по ГОСТ 10198 или ГОСТ 2991 или в специальную тару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Все неокрашенные металлические </w:t>
            </w:r>
            <w:r>
              <w:rPr>
                <w:sz w:val="24"/>
                <w:szCs w:val="24"/>
                <w:highlight w:val="white"/>
              </w:rPr>
              <w:t xml:space="preserve">части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выключателя </w:t>
            </w:r>
            <w:r>
              <w:rPr>
                <w:sz w:val="24"/>
                <w:szCs w:val="24"/>
                <w:highlight w:val="white"/>
              </w:rPr>
              <w:t xml:space="preserve">должны быть подвергнуты консервации по ГОСТ 23216-78.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Условия хранения по ГОСТ 15150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left="72"/>
              <w:tabs>
                <w:tab w:val="num" w:pos="432" w:leader="none"/>
                <w:tab w:val="left" w:pos="4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8ОЖ3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Условия транспортирования согласно ГОСТ 23216</w:t>
            </w:r>
            <w:r>
              <w:rPr>
                <w:sz w:val="24"/>
                <w:szCs w:val="24"/>
                <w:highlight w:val="white"/>
              </w:rPr>
              <w:t xml:space="preserve">-78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средние</w:t>
            </w:r>
            <w:r>
              <w:rPr>
                <w:sz w:val="24"/>
                <w:szCs w:val="24"/>
                <w:highlight w:val="white"/>
              </w:rPr>
              <w:t xml:space="preserve"> (С)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 xml:space="preserve">хранения</w:t>
            </w:r>
            <w:r>
              <w:rPr>
                <w:sz w:val="24"/>
                <w:szCs w:val="24"/>
              </w:rPr>
              <w:t xml:space="preserve">, не менее, лет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sz w:val="24"/>
                <w:szCs w:val="24"/>
                <w:highlight w:val="white"/>
              </w:rPr>
            </w:pP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эксплуатации, обеспечению и утилизации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Эксплуатация, монтаж </w:t>
            </w:r>
            <w:r>
              <w:rPr>
                <w:sz w:val="24"/>
                <w:szCs w:val="24"/>
                <w:highlight w:val="white"/>
              </w:rPr>
              <w:t xml:space="preserve">выключателя </w:t>
            </w:r>
            <w:r>
              <w:rPr>
                <w:sz w:val="24"/>
                <w:szCs w:val="24"/>
                <w:highlight w:val="white"/>
              </w:rPr>
              <w:t xml:space="preserve">должны соответствовать требованиям Правилам технической эксплуатации электрических сетей, Правилам организации технического обслуживания и ремонта объектов электроэнергетики, Правилам устройств электроустановок (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в соответствии с Главой 5.4 ПТЭЭС,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  <w:p>
            <w:pPr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Приложение №№82, 84, 85, 86 к Правилам организации технического обслуживания и ремонта объектов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электроэнергетики)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Наличие в заводской документации требований по мерам безопасности, перечня составных частей и методов утилизации изделий, </w:t>
            </w:r>
            <w:r>
              <w:rPr>
                <w:sz w:val="24"/>
                <w:szCs w:val="24"/>
                <w:highlight w:val="white"/>
              </w:rPr>
              <w:t xml:space="preserve">представляющих опасность для жизни, здоровью людей и окружающей среды после окончания срока службы </w:t>
            </w:r>
            <w:r>
              <w:rPr>
                <w:sz w:val="24"/>
                <w:szCs w:val="24"/>
                <w:highlight w:val="white"/>
              </w:rPr>
              <w:t xml:space="preserve">выключателя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Соответствие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4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before="4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spacing w:before="4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spacing w:before="4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Гарантийный срок эксплуатации </w:t>
            </w:r>
            <w:r>
              <w:rPr>
                <w:sz w:val="24"/>
                <w:szCs w:val="24"/>
                <w:highlight w:val="white"/>
              </w:rPr>
              <w:t xml:space="preserve">выключателя, не менее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лет</w:t>
            </w:r>
            <w:r>
              <w:rPr>
                <w:sz w:val="24"/>
                <w:szCs w:val="24"/>
                <w:highlight w:val="white"/>
              </w:rPr>
              <w:t xml:space="preserve"> со дня ввода в эксплуатацию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Наличие сервисных центров на территории РФ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spacing w:after="60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Гарантии распространяются на все поставляемое оборудование.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течение гарантийного срока должна быть </w:t>
            </w:r>
            <w:r>
              <w:rPr>
                <w:sz w:val="24"/>
                <w:szCs w:val="24"/>
                <w:highlight w:val="white"/>
              </w:rPr>
              <w:t xml:space="preserve">обеспечена безвозмездная замена или ремонт вышедшего из строя оборудования, 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</w:t>
            </w:r>
            <w:r>
              <w:rPr>
                <w:sz w:val="24"/>
                <w:szCs w:val="24"/>
                <w:highlight w:val="white"/>
              </w:rPr>
              <w:t xml:space="preserve">оставщик </w:t>
            </w:r>
            <w:r>
              <w:rPr>
                <w:sz w:val="24"/>
                <w:szCs w:val="24"/>
                <w:highlight w:val="white"/>
              </w:rPr>
              <w:t xml:space="preserve">осуществляет за свой счет.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spacing w:after="60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комплектации и документам, поставляемым вместе с продукцией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запасных частей и принадлежностей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ЗИП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(*) с</w:t>
            </w:r>
            <w:r>
              <w:rPr>
                <w:i/>
                <w:iCs/>
                <w:sz w:val="24"/>
                <w:szCs w:val="24"/>
              </w:rPr>
              <w:t xml:space="preserve">огласно комплектации производителя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29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Одиночный комплект ЗИП (спец. инструмент и приспособления) для</w:t>
            </w:r>
            <w:r>
              <w:rPr>
                <w:sz w:val="24"/>
                <w:szCs w:val="24"/>
                <w:highlight w:val="white"/>
              </w:rPr>
              <w:t xml:space="preserve"> монтажа,</w:t>
            </w:r>
            <w:r>
              <w:rPr>
                <w:sz w:val="24"/>
                <w:szCs w:val="24"/>
                <w:highlight w:val="white"/>
              </w:rPr>
              <w:t xml:space="preserve"> наладки и эксплуатации выключателя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(*) с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огласно комплектации производителя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32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Групповой комплект ЗИП для выполнения газотехнологических работ на выключателе 110кВ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(*)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с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огласно комплектации производителя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618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133"/>
              </w:numPr>
              <w:ind w:left="229" w:hanging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93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Эксплуатационная документация по ГОСТ </w:t>
            </w:r>
            <w:r>
              <w:rPr>
                <w:sz w:val="24"/>
                <w:szCs w:val="24"/>
                <w:highlight w:val="white"/>
              </w:rPr>
              <w:t xml:space="preserve">Р </w:t>
            </w:r>
            <w:r>
              <w:rPr>
                <w:sz w:val="24"/>
                <w:szCs w:val="24"/>
                <w:highlight w:val="white"/>
              </w:rPr>
              <w:t xml:space="preserve">2.601</w:t>
            </w:r>
            <w:r>
              <w:rPr>
                <w:sz w:val="24"/>
                <w:szCs w:val="24"/>
                <w:highlight w:val="white"/>
              </w:rPr>
              <w:t xml:space="preserve">-2019</w:t>
            </w:r>
            <w:r>
              <w:rPr>
                <w:sz w:val="24"/>
                <w:szCs w:val="24"/>
                <w:highlight w:val="white"/>
              </w:rPr>
              <w:t xml:space="preserve">, экз.</w:t>
            </w:r>
            <w:r>
              <w:rPr>
                <w:sz w:val="24"/>
                <w:szCs w:val="24"/>
                <w:highlight w:val="white"/>
              </w:rPr>
              <w:t xml:space="preserve">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</w:t>
            </w:r>
            <w:r>
              <w:rPr>
                <w:sz w:val="24"/>
                <w:szCs w:val="24"/>
                <w:highlight w:val="white"/>
              </w:rPr>
              <w:t xml:space="preserve">руководство по эксплуатации;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формуляр или паспорт;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ведомость ЗИП в виде отдельного документа или как составная часть паспорта или формуляра.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 (1 в электронном виде)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Оснащение выключателя: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Счетчики числа срабатываний выключателя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  <w:t xml:space="preserve">о учета коммутационного ресурса;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</w:t>
            </w:r>
            <w:r>
              <w:rPr>
                <w:sz w:val="24"/>
                <w:szCs w:val="24"/>
              </w:rPr>
              <w:t xml:space="preserve">ндикатор плотности элегаза с температурной компенсацией и блок–контактами для сигнализации о снижении давления и запрещения оперирования выключателем, на каждый полюс выключателя не требующи</w:t>
            </w:r>
            <w:r>
              <w:rPr>
                <w:sz w:val="24"/>
                <w:szCs w:val="24"/>
              </w:rPr>
              <w:t xml:space="preserve">й метрологического обслуживания;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Устройс</w:t>
            </w:r>
            <w:r>
              <w:rPr>
                <w:sz w:val="24"/>
                <w:szCs w:val="24"/>
              </w:rPr>
              <w:t xml:space="preserve">тво синхронной коммутации;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Предвключаемый резистор. </w:t>
            </w:r>
            <w:r>
              <w:rPr>
                <w:sz w:val="24"/>
                <w:szCs w:val="24"/>
              </w:rPr>
              <w:t xml:space="preserve">Параметры: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16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включения резисторов ∆T, мс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16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сопротивления на фазу, R, Ом;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Реле против «прыгания»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Наличие предохранительных клапанов (мембран) для каждого полюса выключателя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Контактные зажимы выводов выключателя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Механический указатель включенного и отключенного положений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Коммутирующие контакты для внешних вспомогательных цепей в количестве не менее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Переключатель управления – местное/дистанционное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Кнопки местного управления выключателем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Съемное приспособление для </w:t>
            </w:r>
            <w:r>
              <w:rPr>
                <w:sz w:val="24"/>
                <w:szCs w:val="24"/>
              </w:rPr>
              <w:t xml:space="preserve">ручного неоперативного включения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Декларация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_Ref184912253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2.2.1.2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соблюдению положений нормативной и иной обязательной для поставщика документации</w:t>
            </w:r>
            <w:r>
              <w:rPr>
                <w:b/>
                <w:bCs/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Во всем неоговоренном </w:t>
            </w:r>
            <w:r>
              <w:rPr>
                <w:sz w:val="24"/>
                <w:szCs w:val="24"/>
                <w:highlight w:val="white"/>
              </w:rPr>
              <w:t xml:space="preserve">выключатели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и встраиваемое оборудование </w:t>
            </w:r>
            <w:r>
              <w:rPr>
                <w:sz w:val="24"/>
                <w:szCs w:val="24"/>
                <w:highlight w:val="white"/>
              </w:rPr>
              <w:t xml:space="preserve">должны соответствовать требованиям </w:t>
            </w:r>
            <w:r>
              <w:rPr>
                <w:sz w:val="24"/>
                <w:szCs w:val="24"/>
                <w:highlight w:val="white"/>
              </w:rPr>
              <w:t xml:space="preserve">ГОСТ Р 52565-2006</w:t>
            </w:r>
            <w:r>
              <w:rPr>
                <w:sz w:val="24"/>
                <w:szCs w:val="24"/>
                <w:highlight w:val="white"/>
              </w:rPr>
              <w:t xml:space="preserve">,</w:t>
            </w:r>
            <w:r>
              <w:rPr>
                <w:sz w:val="24"/>
                <w:szCs w:val="24"/>
                <w:highlight w:val="white"/>
              </w:rPr>
              <w:t xml:space="preserve"> ПУЭ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Декларация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_Ref184912253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2.2.1.2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Свидетельство (п. </w:t>
            </w:r>
            <w:r>
              <w:rPr>
                <w:sz w:val="24"/>
                <w:szCs w:val="24"/>
                <w:highlight w:val="white"/>
              </w:rPr>
              <w:t xml:space="preserve">2.2.1.4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экономическим параметрам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  <w:t xml:space="preserve">//-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рок службы, не менее, лет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службы до среднего (капитального) ремонта, лет, не менее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сопутствующим услугам: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49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0"/>
              </w:numPr>
              <w:contextualSpacing/>
              <w:ind w:left="0" w:right="0" w:firstLine="0"/>
              <w:jc w:val="left"/>
              <w:spacing w:before="60" w:after="60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Требования к шефмонтажу: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2"/>
                <w:numId w:val="70"/>
              </w:numPr>
              <w:ind w:left="0" w:right="0" w:firstLine="0"/>
              <w:jc w:val="left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Участие в монтаже технического представителя завода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618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74"/>
              </w:numPr>
              <w:ind w:left="229" w:hanging="22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</w:instrText>
            </w:r>
            <w:r>
              <w:rPr>
                <w:sz w:val="24"/>
                <w:szCs w:val="24"/>
                <w:highlight w:val="white"/>
              </w:rPr>
              <w:instrText xml:space="preserve">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rPr>
          <w:rStyle w:val="1750"/>
          <w:b w:val="0"/>
          <w:bCs w:val="0"/>
          <w:sz w:val="24"/>
          <w:szCs w:val="24"/>
        </w:rPr>
      </w:pPr>
      <w:r>
        <w:rPr>
          <w:rStyle w:val="1750"/>
          <w:b w:val="0"/>
          <w:bCs w:val="0"/>
          <w:sz w:val="24"/>
          <w:szCs w:val="24"/>
        </w:rPr>
      </w:r>
      <w:r>
        <w:rPr>
          <w:rStyle w:val="1750"/>
          <w:b w:val="0"/>
          <w:bCs w:val="0"/>
          <w:sz w:val="24"/>
          <w:szCs w:val="24"/>
        </w:rPr>
      </w:r>
      <w:r>
        <w:rPr>
          <w:rStyle w:val="1750"/>
          <w:b w:val="0"/>
          <w:bCs w:val="0"/>
          <w:sz w:val="24"/>
          <w:szCs w:val="24"/>
        </w:rPr>
      </w:r>
    </w:p>
    <w:p>
      <w:pPr>
        <w:jc w:val="both"/>
        <w:rPr>
          <w:rStyle w:val="1750"/>
          <w:b w:val="0"/>
          <w:bCs w:val="0"/>
          <w:sz w:val="24"/>
          <w:szCs w:val="24"/>
        </w:rPr>
      </w:pPr>
      <w:r>
        <w:rPr>
          <w:rStyle w:val="1750"/>
          <w:b w:val="0"/>
          <w:bCs w:val="0"/>
          <w:sz w:val="24"/>
          <w:szCs w:val="24"/>
        </w:rPr>
      </w:r>
      <w:r>
        <w:rPr>
          <w:rStyle w:val="1750"/>
          <w:b w:val="0"/>
          <w:bCs w:val="0"/>
          <w:sz w:val="24"/>
          <w:szCs w:val="24"/>
        </w:rPr>
      </w:r>
      <w:r>
        <w:rPr>
          <w:rStyle w:val="1750"/>
          <w:b w:val="0"/>
          <w:bCs w:val="0"/>
          <w:sz w:val="24"/>
          <w:szCs w:val="24"/>
        </w:rPr>
      </w:r>
    </w:p>
    <w:p>
      <w:pPr>
        <w:jc w:val="center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jc w:val="left"/>
        <w:rPr>
          <w:b/>
          <w:bCs/>
          <w:i/>
          <w:sz w:val="28"/>
          <w:szCs w:val="28"/>
          <w:highlight w:val="none"/>
        </w:rPr>
      </w:pPr>
      <w:r>
        <w:rPr>
          <w:b/>
          <w:bCs/>
          <w:i/>
          <w:sz w:val="24"/>
          <w:szCs w:val="24"/>
          <w:highlight w:val="none"/>
        </w:rPr>
        <w:t xml:space="preserve">Таблица 3.2. </w:t>
      </w:r>
      <w:r>
        <w:rPr>
          <w:b/>
          <w:bCs/>
          <w:i/>
          <w:iCs/>
          <w:sz w:val="24"/>
          <w:szCs w:val="24"/>
          <w:highlight w:val="green"/>
        </w:rPr>
        <w:t xml:space="preserve">Наименование продукции (позиция №2 </w:t>
      </w:r>
      <w:r>
        <w:rPr>
          <w:b/>
          <w:bCs/>
          <w:i/>
          <w:iCs/>
          <w:sz w:val="24"/>
          <w:szCs w:val="24"/>
          <w:highlight w:val="green"/>
        </w:rPr>
        <w:t xml:space="preserve">Таблицы 1.1</w:t>
      </w:r>
      <w:r>
        <w:rPr>
          <w:b/>
          <w:bCs/>
          <w:i/>
          <w:iCs/>
          <w:sz w:val="24"/>
          <w:szCs w:val="24"/>
          <w:highlight w:val="green"/>
        </w:rPr>
        <w:t xml:space="preserve">):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Выключатель колонковый элегазовый ВГТ-УЭТМ-110IV-40/3150 ХЛ1 </w:t>
      </w:r>
      <w:r>
        <w:rPr>
          <w:b/>
          <w:bCs/>
          <w:i/>
          <w:iCs/>
          <w:sz w:val="28"/>
          <w:szCs w:val="28"/>
        </w:rPr>
        <w:t xml:space="preserve">с трансформаторами тока ТРГ-УЭТМ-110 (6шт) </w:t>
      </w:r>
      <w:r>
        <w:rPr>
          <w:b/>
          <w:bCs/>
          <w:i/>
          <w:iCs/>
          <w:sz w:val="28"/>
          <w:szCs w:val="28"/>
        </w:rPr>
        <w:t xml:space="preserve">или эквивалент</w:t>
      </w:r>
      <w:r>
        <w:rPr>
          <w:b/>
          <w:bCs/>
          <w:i/>
          <w:sz w:val="28"/>
          <w:szCs w:val="28"/>
        </w:rPr>
        <w:t xml:space="preserve"> (для СП «Благовещенская ТЭЦ»)</w:t>
      </w:r>
      <w:r>
        <w:rPr>
          <w:b/>
          <w:bCs/>
          <w:i/>
          <w:sz w:val="28"/>
          <w:szCs w:val="28"/>
          <w:highlight w:val="none"/>
        </w:rPr>
      </w:r>
      <w:r>
        <w:rPr>
          <w:b/>
          <w:bCs/>
          <w:i/>
          <w:sz w:val="28"/>
          <w:szCs w:val="28"/>
          <w:highlight w:val="none"/>
        </w:rPr>
      </w:r>
    </w:p>
    <w:p>
      <w:pPr>
        <w:pStyle w:val="1653"/>
        <w:numPr>
          <w:ilvl w:val="0"/>
          <w:numId w:val="0"/>
        </w:numPr>
        <w:ind w:left="426" w:firstLine="0"/>
        <w:jc w:val="left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</w:r>
      <w:r>
        <w:rPr>
          <w:b/>
          <w:bCs/>
          <w:i/>
          <w:sz w:val="32"/>
          <w:szCs w:val="32"/>
        </w:rPr>
      </w:r>
      <w:r>
        <w:rPr>
          <w:b/>
          <w:bCs/>
          <w:i/>
          <w:sz w:val="32"/>
          <w:szCs w:val="32"/>
        </w:rPr>
      </w:r>
    </w:p>
    <w:tbl>
      <w:tblPr>
        <w:tblpPr w:horzAnchor="text" w:tblpXSpec="left" w:vertAnchor="text" w:tblpY="1" w:leftFromText="180" w:topFromText="0" w:rightFromText="180" w:bottomFromText="0"/>
        <w:tblW w:w="15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543"/>
        <w:gridCol w:w="3543"/>
        <w:gridCol w:w="1984"/>
        <w:gridCol w:w="2749"/>
        <w:gridCol w:w="2295"/>
      </w:tblGrid>
      <w:tr>
        <w:tblPrEx/>
        <w:trPr/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73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на этапе закупки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941"/>
        </w:trPr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выключателя (включая гарантируемые показатели)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482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выключателя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Элегазовый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4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Конструктивное исполнение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колонковый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</w:t>
            </w:r>
            <w:r>
              <w:rPr>
                <w:sz w:val="24"/>
                <w:szCs w:val="24"/>
              </w:rPr>
              <w:t xml:space="preserve">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4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Номинальная частота, </w:t>
            </w:r>
            <w:r>
              <w:rPr>
                <w:sz w:val="24"/>
                <w:szCs w:val="24"/>
              </w:rPr>
              <w:t xml:space="preserve">Гц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4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r>
              <w:rPr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4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</w:t>
            </w:r>
            <w:r>
              <w:rPr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4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4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ток, 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4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 отключения, кА,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59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привода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Пружинный либо эквивалент равноценный или превосходящий по качеству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699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 термической стойкости, кА,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5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протекания тока термической стойкости,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5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 электродинамической стойкости, кА,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5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Наибольший пик тока включения, кА,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Начальное действующее значение периодической составляющей тока включения, кА,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5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апериодической составляющей, %,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5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Нормированные характеристики </w:t>
            </w:r>
            <w:r>
              <w:rPr>
                <w:sz w:val="24"/>
                <w:szCs w:val="24"/>
              </w:rPr>
              <w:t xml:space="preserve">собственного</w:t>
            </w:r>
            <w:r>
              <w:rPr>
                <w:sz w:val="24"/>
                <w:szCs w:val="24"/>
              </w:rPr>
              <w:t xml:space="preserve"> ПВН в соответствии 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требованиями ГОСТ 687 (п. 3.6.3) или ГОСТ 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 52565 (п.6.6.3)</w:t>
            </w:r>
            <w:r>
              <w:rPr>
                <w:sz w:val="24"/>
                <w:szCs w:val="24"/>
                <w:vertAlign w:val="superscript"/>
              </w:rPr>
              <w:t xml:space="preserve">(4)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Емкостной</w:t>
            </w:r>
            <w:r>
              <w:rPr>
                <w:sz w:val="24"/>
                <w:szCs w:val="24"/>
              </w:rPr>
              <w:t xml:space="preserve"> ток ненагруженных линий, отключаемый без повторных пробоев, А, не более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Нормированный ток отключения в условиях рассогласования фаз, кА, не менее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i/>
                <w:iCs/>
                <w:sz w:val="24"/>
                <w:szCs w:val="24"/>
                <w:shd w:val="clear" w:color="auto" w:fill="ffff99"/>
              </w:rPr>
            </w:pP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</w:p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Допустимый ток отключения шунтирующего реактора, 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минимальный 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нормированный 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</w:t>
            </w:r>
            <w:r>
              <w:rPr>
                <w:sz w:val="24"/>
                <w:szCs w:val="24"/>
                <w:u w:val="single"/>
              </w:rPr>
              <w:t xml:space="preserve">+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315</w:t>
            </w:r>
            <w:r>
              <w:rPr>
                <w:sz w:val="24"/>
                <w:szCs w:val="24"/>
                <w:u w:val="single"/>
              </w:rPr>
              <w:t xml:space="preserve">+</w:t>
            </w:r>
            <w:r>
              <w:rPr>
                <w:sz w:val="24"/>
                <w:szCs w:val="24"/>
              </w:rPr>
              <w:t xml:space="preserve">63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Ресурс по коммутационной стойкости (для каждого полюса), операций</w:t>
            </w:r>
            <w:r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 xml:space="preserve"> (В),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-Количество операций «О» («В») при токе отключения (включения)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равном 1,0 </w:t>
            </w:r>
            <w:r>
              <w:rPr>
                <w:sz w:val="24"/>
                <w:szCs w:val="24"/>
              </w:rPr>
              <w:t xml:space="preserve">Iо</w:t>
            </w:r>
            <w:r>
              <w:rPr>
                <w:sz w:val="24"/>
                <w:szCs w:val="24"/>
              </w:rPr>
              <w:t xml:space="preserve">.н</w:t>
            </w:r>
            <w:r>
              <w:rPr>
                <w:sz w:val="24"/>
                <w:szCs w:val="24"/>
              </w:rPr>
              <w:t xml:space="preserve">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-Количество операций «О» («В») при токе отключения (включения)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равном 1,0 </w:t>
            </w:r>
            <w:r>
              <w:rPr>
                <w:sz w:val="24"/>
                <w:szCs w:val="24"/>
              </w:rPr>
              <w:t xml:space="preserve">Iо</w:t>
            </w:r>
            <w:r>
              <w:rPr>
                <w:sz w:val="24"/>
                <w:szCs w:val="24"/>
              </w:rPr>
              <w:t xml:space="preserve">.н</w:t>
            </w:r>
            <w:r>
              <w:rPr>
                <w:sz w:val="24"/>
                <w:szCs w:val="24"/>
              </w:rPr>
              <w:t xml:space="preserve">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Нормированные коммутационные циклы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цикл 1: О-0,3с-ВО-180с-ВО;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цикл 2: О-0,3с-ВО-20с-ВО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цикл 3: О-180с-ВО-180с-ВО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Бестоковая</w:t>
            </w:r>
            <w:r>
              <w:rPr>
                <w:sz w:val="24"/>
                <w:szCs w:val="24"/>
              </w:rPr>
              <w:t xml:space="preserve"> пауза при АПВ, сек.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5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Разновременность включения полюсов, сек.,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Разновременность отключения полюсов, сек.,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Разница между моментами размыкания контактов разрывов одного полюса, сек.,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0,025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Собственное время отключения,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время отключения,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Собственное время включения,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0,065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30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Механический ресурс, циклов В-</w:t>
            </w:r>
            <w:r>
              <w:rPr>
                <w:sz w:val="24"/>
                <w:szCs w:val="24"/>
              </w:rPr>
              <w:t xml:space="preserve">t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-О, операций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 цепей управления (постоянный ток), </w:t>
            </w:r>
            <w:r>
              <w:rPr>
                <w:sz w:val="24"/>
                <w:szCs w:val="24"/>
              </w:rPr>
              <w:t xml:space="preserve">Uп</w:t>
            </w:r>
            <w:r>
              <w:rPr>
                <w:sz w:val="24"/>
                <w:szCs w:val="24"/>
              </w:rPr>
              <w:t xml:space="preserve">.н</w:t>
            </w:r>
            <w:r>
              <w:rPr>
                <w:sz w:val="24"/>
                <w:szCs w:val="24"/>
              </w:rPr>
              <w:t xml:space="preserve">ом</w:t>
            </w:r>
            <w:r>
              <w:rPr>
                <w:sz w:val="24"/>
                <w:szCs w:val="24"/>
              </w:rPr>
              <w:t xml:space="preserve">., 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=220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Диапазон изменения напряжения постоянного тока цепей управления, % от номинального значения, не менее: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ab/>
              <w:t xml:space="preserve">для цепей отключения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ab/>
              <w:t xml:space="preserve">для цепей включения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65 - 120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80 - 110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 в цепи управления привода полюса при номинальном напряжении, А, </w:t>
            </w:r>
            <w:r>
              <w:rPr>
                <w:sz w:val="24"/>
                <w:szCs w:val="24"/>
              </w:rPr>
              <w:t xml:space="preserve">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электромагнитов отключения,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электромагнитов включения,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Минимальное напряжение срабатывания электромагнитов управления,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, не более: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электромагниты отключения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электромагниты включения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0,65 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U</w:t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.н</w:t>
            </w:r>
            <w:r>
              <w:rPr>
                <w:sz w:val="24"/>
                <w:szCs w:val="24"/>
                <w:highlight w:val="white"/>
              </w:rPr>
              <w:t xml:space="preserve">ом</w:t>
            </w:r>
            <w:r>
              <w:rPr>
                <w:sz w:val="24"/>
                <w:szCs w:val="24"/>
                <w:highlight w:val="white"/>
              </w:rPr>
              <w:t xml:space="preserve">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0,80 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U</w:t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.н</w:t>
            </w:r>
            <w:r>
              <w:rPr>
                <w:sz w:val="24"/>
                <w:szCs w:val="24"/>
                <w:highlight w:val="white"/>
              </w:rPr>
              <w:t xml:space="preserve">ом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питания обогревателей (переменный ток),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~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Номинальная мощность подогревательных устройств </w:t>
            </w:r>
            <w:r>
              <w:rPr>
                <w:sz w:val="24"/>
                <w:szCs w:val="24"/>
                <w:highlight w:val="white"/>
              </w:rPr>
              <w:t xml:space="preserve">(</w:t>
            </w:r>
            <w:r>
              <w:rPr>
                <w:sz w:val="24"/>
                <w:szCs w:val="24"/>
                <w:highlight w:val="white"/>
              </w:rPr>
              <w:t xml:space="preserve">переменный ток), </w:t>
            </w:r>
            <w:r>
              <w:rPr>
                <w:sz w:val="24"/>
                <w:szCs w:val="24"/>
                <w:highlight w:val="white"/>
              </w:rPr>
              <w:t xml:space="preserve">Вт</w:t>
            </w:r>
            <w:r>
              <w:rPr>
                <w:sz w:val="24"/>
                <w:szCs w:val="24"/>
                <w:highlight w:val="white"/>
              </w:rPr>
              <w:t xml:space="preserve">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  <w:t xml:space="preserve">антиконденсатный</w:t>
            </w:r>
            <w:r>
              <w:rPr>
                <w:sz w:val="24"/>
                <w:szCs w:val="24"/>
                <w:highlight w:val="white"/>
              </w:rPr>
              <w:t xml:space="preserve"> обогрев привода;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основной обогрев привода;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1600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719"/>
              <w:ind w:left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питания электродвигателей привода (переменный ток), </w:t>
            </w:r>
            <w:r>
              <w:rPr>
                <w:sz w:val="24"/>
                <w:szCs w:val="24"/>
              </w:rPr>
              <w:t xml:space="preserve">Uп</w:t>
            </w:r>
            <w:r>
              <w:rPr>
                <w:sz w:val="24"/>
                <w:szCs w:val="24"/>
              </w:rPr>
              <w:t xml:space="preserve">.н</w:t>
            </w:r>
            <w:r>
              <w:rPr>
                <w:sz w:val="24"/>
                <w:szCs w:val="24"/>
              </w:rPr>
              <w:t xml:space="preserve">ом</w:t>
            </w:r>
            <w:r>
              <w:rPr>
                <w:sz w:val="24"/>
                <w:szCs w:val="24"/>
              </w:rPr>
              <w:t xml:space="preserve">., 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~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Ток, потребляемый электродвигателем привода (пусковой/установившийся), А,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20/3,5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электрической прочности изоляции: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изоляции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6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Испытательное напряжение полного грозового импульса, </w:t>
            </w:r>
            <w:r>
              <w:rPr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относительно земли/ между разомкнутыми контактами выключателя: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450 /550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6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Кратковременное (одноминутное) переменное напряжение, </w:t>
            </w:r>
            <w:r>
              <w:rPr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относительно земли/ между разомкнутыми контактами: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230/230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6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Удельная длина пути утечки внешней изоляции, </w:t>
            </w:r>
            <w:r>
              <w:rPr>
                <w:sz w:val="24"/>
                <w:szCs w:val="24"/>
              </w:rPr>
              <w:t xml:space="preserve">см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4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трансформатору тока с 3 обмотками: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// 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- // 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// 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59"/>
        </w:trPr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Тип трансформаторов / кол-во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ТРГ-УЭТМ-110 или эквивалент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6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0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59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Категория изоляции по ГОСТ 9920-89</w:t>
            </w:r>
            <w:r>
              <w:rPr>
                <w:rFonts w:ascii="Times New Roman" w:hAnsi="Times New Roman" w:cs="Times New Roman"/>
                <w:bCs/>
                <w:color w:val="auto"/>
              </w:rPr>
            </w:r>
            <w:r>
              <w:rPr>
                <w:rFonts w:ascii="Times New Roman" w:hAnsi="Times New Roman" w:cs="Times New Roman"/>
                <w:bCs/>
                <w:color w:val="auto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IV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07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Тип внешней изоляции</w:t>
            </w:r>
            <w:r>
              <w:rPr>
                <w:rFonts w:ascii="Times New Roman" w:hAnsi="Times New Roman" w:cs="Times New Roman"/>
                <w:bCs/>
                <w:color w:val="auto"/>
              </w:rPr>
            </w:r>
            <w:r>
              <w:rPr>
                <w:rFonts w:ascii="Times New Roman" w:hAnsi="Times New Roman" w:cs="Times New Roman"/>
                <w:bCs/>
                <w:color w:val="auto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фарфор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08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Климатическое исполнение </w:t>
            </w:r>
            <w:r>
              <w:rPr>
                <w:rFonts w:ascii="Times New Roman" w:hAnsi="Times New Roman" w:cs="Times New Roman"/>
                <w:bCs/>
                <w:color w:val="auto"/>
              </w:rPr>
            </w:r>
            <w:r>
              <w:rPr>
                <w:rFonts w:ascii="Times New Roman" w:hAnsi="Times New Roman" w:cs="Times New Roman"/>
                <w:bCs/>
                <w:color w:val="auto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09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Вид внутренней изоляции (масло, </w:t>
            </w:r>
            <w:r>
              <w:rPr>
                <w:bCs/>
                <w:sz w:val="24"/>
                <w:szCs w:val="24"/>
                <w:highlight w:val="white"/>
              </w:rPr>
              <w:t xml:space="preserve">масло+песок</w:t>
            </w:r>
            <w:r>
              <w:rPr>
                <w:bCs/>
                <w:sz w:val="24"/>
                <w:szCs w:val="24"/>
                <w:highlight w:val="white"/>
              </w:rPr>
              <w:t xml:space="preserve">, </w:t>
            </w:r>
            <w:r>
              <w:rPr>
                <w:bCs/>
                <w:sz w:val="24"/>
                <w:szCs w:val="24"/>
                <w:highlight w:val="white"/>
              </w:rPr>
              <w:t xml:space="preserve">элегазовый</w:t>
            </w:r>
            <w:r>
              <w:rPr>
                <w:bCs/>
                <w:sz w:val="24"/>
                <w:szCs w:val="24"/>
                <w:highlight w:val="white"/>
              </w:rPr>
              <w:t xml:space="preserve">)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Элегазовый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рабочее фазное напряжение, </w:t>
            </w:r>
            <w:r>
              <w:rPr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110/√3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фазное напряжение, </w:t>
            </w:r>
            <w:r>
              <w:rPr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126/ √3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Номинальная частота, </w:t>
            </w:r>
            <w:r>
              <w:rPr>
                <w:sz w:val="24"/>
                <w:szCs w:val="24"/>
              </w:rPr>
              <w:t xml:space="preserve">Гц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Параметры обмоток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в соответствии с Таблицей 1 (Приложение №1.4 к Техническим требованиям)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6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6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_Ref184912356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2.2.1.5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16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Допустимая перегрузка по первичному току, при котором сохраняется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заявленный класс точности </w:t>
            </w:r>
            <w:r>
              <w:rPr>
                <w:sz w:val="24"/>
                <w:szCs w:val="24"/>
                <w:highlight w:val="white"/>
              </w:rPr>
              <w:t xml:space="preserve">для измерительных обмоток, при температуре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окружающего воздуха до + 40</w:t>
            </w:r>
            <w:r>
              <w:rPr>
                <w:sz w:val="24"/>
                <w:szCs w:val="24"/>
                <w:highlight w:val="white"/>
              </w:rPr>
              <w:t xml:space="preserve">°C</w:t>
            </w:r>
            <w:r>
              <w:rPr>
                <w:sz w:val="24"/>
                <w:szCs w:val="24"/>
                <w:highlight w:val="white"/>
              </w:rPr>
              <w:t xml:space="preserve">, %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71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Защитные обмотки трансформаторов тока должны обеспечивать заданный классом точности предел погрешности в переходных режимах, включая цикл АПВ, в том числе и не успешной АПВ «</w:t>
            </w:r>
            <w:r>
              <w:rPr>
                <w:sz w:val="24"/>
                <w:szCs w:val="24"/>
              </w:rPr>
              <w:t xml:space="preserve">КЗ</w:t>
            </w:r>
            <w:r>
              <w:rPr>
                <w:sz w:val="24"/>
                <w:szCs w:val="24"/>
              </w:rPr>
              <w:t xml:space="preserve"> – отключение–пауза 1с включение (успешное и неуспешное на КЗ»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Ток термической стойкости при длительности 3 с, не менее, 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9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Ток электродинамической стойкости, кА, не менее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102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0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Номинальный вторичный ток, 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6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6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_Ref184912356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2.2.1.5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вторичных обмоток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80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Наличие сигнализатора давления элегаза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81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</w:rPr>
              <w:framePr w:hSpace="180" w:wrap="around" w:vAnchor="text" w:hAnchor="text" w:y="1"/>
            </w:pPr>
            <w:r>
              <w:rPr>
                <w:sz w:val="24"/>
                <w:szCs w:val="24"/>
              </w:rPr>
              <w:t xml:space="preserve">Наличие в сигнализаторе давления элегаза две пары контактов для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52"/>
              <w:rPr>
                <w:sz w:val="24"/>
                <w:szCs w:val="24"/>
              </w:rPr>
              <w:framePr w:hSpace="180" w:wrap="around" w:vAnchor="text" w:hAnchor="text" w:y="1"/>
            </w:pPr>
            <w:r>
              <w:rPr>
                <w:sz w:val="24"/>
                <w:szCs w:val="24"/>
              </w:rPr>
              <w:t xml:space="preserve">предупредительной ступени и две пары контактов для аварийной ступени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</w:rPr>
              <w:framePr w:hSpace="180" w:wrap="around" w:vAnchor="text" w:hAnchor="text" w:y="1"/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8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</w:rPr>
              <w:framePr w:hSpace="180" w:wrap="around" w:vAnchor="text" w:hAnchor="text" w:y="1"/>
            </w:pPr>
            <w:r>
              <w:rPr>
                <w:sz w:val="24"/>
                <w:szCs w:val="24"/>
              </w:rPr>
              <w:t xml:space="preserve">Наличие манометра с температурной компенсацией или плотномера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</w:rPr>
              <w:framePr w:hSpace="180" w:wrap="around" w:vAnchor="text" w:hAnchor="text" w:y="1"/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8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</w:rPr>
              <w:framePr w:hSpace="180" w:wrap="around" w:vAnchor="text" w:hAnchor="text" w:y="1"/>
            </w:pPr>
            <w:r>
              <w:rPr>
                <w:sz w:val="24"/>
                <w:szCs w:val="24"/>
              </w:rPr>
              <w:t xml:space="preserve">Наличие предохранительного клапана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</w:rPr>
              <w:framePr w:hSpace="180" w:wrap="around" w:vAnchor="text" w:hAnchor="text" w:y="1"/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8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Расход элегаза на утечки, % в год, не более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0,2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8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shd w:val="clear" w:color="ffffff" w:fill="ffffff"/>
            <w:tcW w:w="7087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трансформатору тока с 4 обмотками: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Тип трансформаторов / кол-во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ТРГ-УЭТМ-110 или эквивалент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6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6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Категория изоляции по ГОСТ 9920-89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IV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11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Тип внешней изоляции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12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ind w:left="34" w:right="34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Климатическое исполнение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УХЛ1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13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Вид внутренней изоляции (масло, </w:t>
            </w:r>
            <w:r>
              <w:rPr>
                <w:bCs/>
                <w:sz w:val="24"/>
                <w:szCs w:val="24"/>
                <w:highlight w:val="white"/>
              </w:rPr>
              <w:t xml:space="preserve">масло+песок</w:t>
            </w:r>
            <w:r>
              <w:rPr>
                <w:bCs/>
                <w:sz w:val="24"/>
                <w:szCs w:val="24"/>
                <w:highlight w:val="white"/>
              </w:rPr>
              <w:t xml:space="preserve">, </w:t>
            </w:r>
            <w:r>
              <w:rPr>
                <w:bCs/>
                <w:sz w:val="24"/>
                <w:szCs w:val="24"/>
                <w:highlight w:val="white"/>
              </w:rPr>
              <w:t xml:space="preserve">элегазовый</w:t>
            </w:r>
            <w:r>
              <w:rPr>
                <w:bCs/>
                <w:sz w:val="24"/>
                <w:szCs w:val="24"/>
                <w:highlight w:val="white"/>
              </w:rPr>
              <w:t xml:space="preserve">)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Элегазовый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2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Номинальное рабочее фазное напряжение, </w:t>
            </w:r>
            <w:r>
              <w:rPr>
                <w:sz w:val="24"/>
                <w:szCs w:val="24"/>
                <w:highlight w:val="white"/>
              </w:rPr>
              <w:t xml:space="preserve">кВ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110/√3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2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Наибольшее рабочее фазное напряжение, </w:t>
            </w:r>
            <w:r>
              <w:rPr>
                <w:sz w:val="24"/>
                <w:szCs w:val="24"/>
                <w:highlight w:val="white"/>
              </w:rPr>
              <w:t xml:space="preserve">кВ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126/ √3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2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Номинальная частота, </w:t>
            </w:r>
            <w:r>
              <w:rPr>
                <w:sz w:val="24"/>
                <w:szCs w:val="24"/>
                <w:highlight w:val="white"/>
              </w:rPr>
              <w:t xml:space="preserve">Гц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2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Параметры обмоток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в соответствии с Таблицей 2 (Приложение №1.4 к Техническим требованиям)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6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6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_Ref184912356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2.2.1.5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Допустимая перегрузка по первичному току, при котором сохраняется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заявленный класс точности </w:t>
            </w:r>
            <w:r>
              <w:rPr>
                <w:sz w:val="24"/>
                <w:szCs w:val="24"/>
                <w:highlight w:val="white"/>
              </w:rPr>
              <w:t xml:space="preserve">для измерительных обмоток, при температуре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652"/>
              <w:rPr>
                <w:sz w:val="24"/>
                <w:szCs w:val="24"/>
                <w:highlight w:val="white"/>
              </w:rPr>
              <w:framePr w:hSpace="180" w:wrap="around" w:vAnchor="text" w:hAnchor="text" w:y="1"/>
            </w:pPr>
            <w:r>
              <w:rPr>
                <w:sz w:val="24"/>
                <w:szCs w:val="24"/>
                <w:highlight w:val="white"/>
              </w:rPr>
              <w:t xml:space="preserve">окружающего воздуха до + 40</w:t>
            </w:r>
            <w:r>
              <w:rPr>
                <w:sz w:val="24"/>
                <w:szCs w:val="24"/>
                <w:highlight w:val="white"/>
              </w:rPr>
              <w:t xml:space="preserve">°C</w:t>
            </w:r>
            <w:r>
              <w:rPr>
                <w:sz w:val="24"/>
                <w:szCs w:val="24"/>
                <w:highlight w:val="white"/>
              </w:rPr>
              <w:t xml:space="preserve">, %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8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Защитные обмотки трансформаторов тока должны обеспечивать заданный классом точности предел погрешности в переходных режимах, включая цикл АПВ, в том числе и не успешной АПВ «</w:t>
            </w:r>
            <w:r>
              <w:rPr>
                <w:sz w:val="24"/>
                <w:szCs w:val="24"/>
              </w:rPr>
              <w:t xml:space="preserve">КЗ</w:t>
            </w:r>
            <w:r>
              <w:rPr>
                <w:sz w:val="24"/>
                <w:szCs w:val="24"/>
              </w:rPr>
              <w:t xml:space="preserve"> – отключение–пауза 1с включение (успешное и неуспешное на КЗ»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Ток термической стойкости при длительности 3 с, не менее, 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3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Ток электродинамической стойкости, кА, не менее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102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4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Номинальный вторичный ток, 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6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6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_Ref184912356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2.2.1.5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вторичных обмоток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76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Наличие сигнализатора давления </w:t>
            </w:r>
            <w:r>
              <w:rPr>
                <w:sz w:val="24"/>
                <w:szCs w:val="24"/>
                <w:highlight w:val="white"/>
              </w:rPr>
              <w:t xml:space="preserve">элегаза</w:t>
            </w:r>
            <w:r>
              <w:rPr>
                <w:sz w:val="24"/>
                <w:szCs w:val="24"/>
                <w:highlight w:val="white"/>
              </w:rPr>
              <w:t xml:space="preserve">, (да, нет)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2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Наличие в сигнализаторе давления </w:t>
            </w:r>
            <w:r>
              <w:rPr>
                <w:sz w:val="24"/>
                <w:szCs w:val="24"/>
                <w:highlight w:val="white"/>
              </w:rPr>
              <w:t xml:space="preserve">элегаза</w:t>
            </w:r>
            <w:r>
              <w:rPr>
                <w:sz w:val="24"/>
                <w:szCs w:val="24"/>
                <w:highlight w:val="white"/>
              </w:rPr>
              <w:t xml:space="preserve"> две пары контактов </w:t>
            </w:r>
            <w:r>
              <w:rPr>
                <w:sz w:val="24"/>
                <w:szCs w:val="24"/>
                <w:highlight w:val="white"/>
              </w:rPr>
              <w:t xml:space="preserve">для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предупредительной ступени и две пары контактов для аварийной ступени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3"/>
              </w:numPr>
              <w:ind w:left="229" w:hanging="229"/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Тех. предложение (п.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REF _Ref184912228 \r \h  \* MERGEFORMAT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2.2.1.1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манометра с температурной компенсацией или плотномера, (да,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предохранительного клапана, (да, нет)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3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 </w:t>
            </w:r>
            <w:r>
              <w:rPr>
                <w:sz w:val="24"/>
                <w:szCs w:val="24"/>
              </w:rPr>
              <w:t xml:space="preserve">элегаза</w:t>
            </w:r>
            <w:r>
              <w:rPr>
                <w:sz w:val="24"/>
                <w:szCs w:val="24"/>
              </w:rPr>
              <w:t xml:space="preserve"> на утечки, % в год, не более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21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5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Степень защищенности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IP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 xml:space="preserve">54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7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5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Выключатель (полюс выключателя) должен иметь контактную площадку для подсоединения заземляющего проводника и заземляющий зажим (зажимы) с указанием знака заземления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7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_Ref184912253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2.2.1.2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5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Соответствие требованиям </w:t>
            </w:r>
            <w:r>
              <w:rPr>
                <w:bCs/>
                <w:sz w:val="24"/>
                <w:szCs w:val="24"/>
              </w:rPr>
              <w:t xml:space="preserve">ГОСТ 12.2.007.3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Согласие с </w:t>
            </w:r>
            <w:r>
              <w:rPr>
                <w:bCs/>
                <w:sz w:val="24"/>
                <w:szCs w:val="24"/>
              </w:rPr>
              <w:t xml:space="preserve">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rPr>
                <w:b/>
                <w:bCs/>
              </w:rPr>
              <w:suppressLineNumbers w:val="0"/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конструкции, изготовлению и материалам: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Конструктивное исполнение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трехполюсный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7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Тип изоляции вводов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фарфор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781"/>
              <w:rPr>
                <w:highlight w:val="none"/>
              </w:rPr>
            </w:pPr>
            <w:r>
              <w:rPr>
                <w:bCs/>
                <w:sz w:val="24"/>
                <w:szCs w:val="24"/>
              </w:rPr>
              <w:t xml:space="preserve">Допустимая величина механической нагрузки от </w:t>
            </w:r>
            <w:r>
              <w:rPr>
                <w:bCs/>
                <w:sz w:val="24"/>
                <w:szCs w:val="24"/>
              </w:rPr>
              <w:t xml:space="preserve">тяжения</w:t>
            </w:r>
            <w:r>
              <w:rPr>
                <w:bCs/>
                <w:sz w:val="24"/>
                <w:szCs w:val="24"/>
              </w:rPr>
              <w:t xml:space="preserve"> проводов в горизонтальной плоскости, Н, не менее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7"/>
              </w:numPr>
              <w:ind w:left="237" w:hanging="237"/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направление</w:t>
            </w:r>
            <w:r>
              <w:rPr>
                <w:bCs/>
                <w:sz w:val="24"/>
                <w:szCs w:val="24"/>
              </w:rPr>
              <w:t xml:space="preserve"> А</w:t>
            </w:r>
            <w:r>
              <w:rPr>
                <w:bCs/>
                <w:sz w:val="24"/>
                <w:szCs w:val="24"/>
              </w:rPr>
              <w:t xml:space="preserve">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1250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7"/>
              </w:numPr>
              <w:ind w:left="237" w:hanging="237"/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направление</w:t>
            </w:r>
            <w:r>
              <w:rPr>
                <w:bCs/>
                <w:sz w:val="24"/>
                <w:szCs w:val="24"/>
              </w:rPr>
              <w:t xml:space="preserve"> В</w:t>
            </w:r>
            <w:r>
              <w:rPr>
                <w:bCs/>
                <w:sz w:val="24"/>
                <w:szCs w:val="24"/>
              </w:rPr>
              <w:t xml:space="preserve">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</w:rPr>
              <w:t xml:space="preserve">750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7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 на утечки газа или газовой смеси, %, не более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0,5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7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испытаний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_Ref184912294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2.2.1.4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Выключатель с приводами и опорными металлоконструкциями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7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Шесть выносных элегазовых трансформаторов тока (3шт. - с 3 обмотками/3шт. – с 4 обмотками)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7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792"/>
              <w:ind w:left="34" w:right="34"/>
              <w:jc w:val="left"/>
              <w:spacing w:line="240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консолей для совместной установки с выносными трансформаторами тока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да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7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792"/>
              <w:ind w:left="34" w:right="34"/>
              <w:jc w:val="left"/>
              <w:spacing w:line="240" w:lineRule="auto"/>
              <w:widowControl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Высота консолей, не более, мм (выключатель устанавливается взамен существующего)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3800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7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792"/>
              <w:ind w:left="34" w:right="34"/>
              <w:jc w:val="left"/>
              <w:spacing w:line="240" w:lineRule="auto"/>
              <w:widowControl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Заводская металлоконструкция для отдельной установки выносных </w:t>
            </w:r>
            <w:r>
              <w:rPr>
                <w:sz w:val="24"/>
                <w:szCs w:val="24"/>
                <w:highlight w:val="white"/>
              </w:rPr>
              <w:t xml:space="preserve">трансформаторов тока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да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7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7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792"/>
              <w:ind w:left="34" w:right="34"/>
              <w:jc w:val="left"/>
              <w:spacing w:line="240" w:lineRule="auto"/>
              <w:widowControl/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Высота заводской опорной металлоконструкции, не более, мм (выключатель устанавливается взамен существующего)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4200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8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8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792"/>
              <w:ind w:left="34" w:right="34"/>
              <w:jc w:val="left"/>
              <w:spacing w:line="240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Площадка обслуживания для выключателя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38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38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Комплект запасных частей и принадлежностей ЗИП: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-для монтажа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-для газотехнологической подготовки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Шкаф управления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Элегаз</w:t>
            </w:r>
            <w:r>
              <w:rPr>
                <w:sz w:val="24"/>
                <w:szCs w:val="24"/>
              </w:rPr>
              <w:t xml:space="preserve"> (смесь) для первичной заправки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4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Масса выключателя, </w:t>
            </w:r>
            <w:r>
              <w:rPr>
                <w:bCs/>
                <w:sz w:val="24"/>
                <w:szCs w:val="24"/>
              </w:rPr>
              <w:t xml:space="preserve">кг</w:t>
            </w:r>
            <w:r>
              <w:rPr>
                <w:bCs/>
                <w:sz w:val="24"/>
                <w:szCs w:val="24"/>
              </w:rPr>
              <w:t xml:space="preserve">, не более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Согласно предложению завода-изготовителя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Масса </w:t>
            </w:r>
            <w:r>
              <w:rPr>
                <w:bCs/>
                <w:sz w:val="24"/>
                <w:szCs w:val="24"/>
              </w:rPr>
              <w:t xml:space="preserve">элегаза</w:t>
            </w:r>
            <w:r>
              <w:rPr>
                <w:bCs/>
                <w:sz w:val="24"/>
                <w:szCs w:val="24"/>
              </w:rPr>
              <w:t xml:space="preserve">, кг, не более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Масса </w:t>
            </w:r>
            <w:r>
              <w:rPr>
                <w:bCs/>
                <w:sz w:val="24"/>
                <w:szCs w:val="24"/>
              </w:rPr>
              <w:t xml:space="preserve">тетрафторметана</w:t>
            </w:r>
            <w:r>
              <w:rPr>
                <w:bCs/>
                <w:sz w:val="24"/>
                <w:szCs w:val="24"/>
              </w:rPr>
              <w:t xml:space="preserve">, кг, не более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3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Габаритные</w:t>
            </w:r>
            <w:r>
              <w:rPr>
                <w:bCs/>
                <w:sz w:val="24"/>
                <w:szCs w:val="24"/>
              </w:rPr>
              <w:t xml:space="preserve"> размеры выключателя, Д/</w:t>
            </w:r>
            <w:r>
              <w:rPr>
                <w:bCs/>
                <w:sz w:val="24"/>
                <w:szCs w:val="24"/>
              </w:rPr>
              <w:t xml:space="preserve">Ш</w:t>
            </w:r>
            <w:r>
              <w:rPr>
                <w:bCs/>
                <w:sz w:val="24"/>
                <w:szCs w:val="24"/>
              </w:rPr>
              <w:t xml:space="preserve">/В, мм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5250/890/3600 (+/- 200)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8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Тех. предложение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_Ref184912228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(п.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_Ref184912271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2.2.1.3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3"/>
            <w:tcW w:w="9071" w:type="dxa"/>
            <w:vMerge w:val="restart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Приборы и сервисные устройства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Счетчики числа срабатываний выключателя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5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мониторинга выключателя АВМ-ВК в шкафу привода </w:t>
            </w:r>
            <w:r>
              <w:rPr>
                <w:sz w:val="24"/>
                <w:szCs w:val="24"/>
              </w:rPr>
              <w:t xml:space="preserve">выключателя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 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5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шкафу привода выключателя совместно с блоком АВМ-ВК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(конвертор, оптический кросс, </w:t>
            </w:r>
            <w:r>
              <w:rPr>
                <w:sz w:val="24"/>
                <w:szCs w:val="24"/>
              </w:rPr>
              <w:t xml:space="preserve">патч</w:t>
            </w:r>
            <w:r>
              <w:rPr>
                <w:sz w:val="24"/>
                <w:szCs w:val="24"/>
              </w:rPr>
              <w:t xml:space="preserve">-корды) </w:t>
            </w:r>
            <w:r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подключения электрического выхода </w:t>
            </w:r>
            <w:r>
              <w:rPr>
                <w:sz w:val="24"/>
                <w:szCs w:val="24"/>
              </w:rPr>
              <w:t xml:space="preserve">Ethernet</w:t>
            </w:r>
            <w:r>
              <w:rPr>
                <w:sz w:val="24"/>
                <w:szCs w:val="24"/>
              </w:rPr>
              <w:t xml:space="preserve"> блока АВМ-ВК </w:t>
            </w:r>
            <w:r>
              <w:rPr>
                <w:sz w:val="24"/>
                <w:szCs w:val="24"/>
              </w:rPr>
              <w:t xml:space="preserve">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оптическому кабелю с характеристиками </w:t>
            </w:r>
            <w:r>
              <w:rPr>
                <w:sz w:val="24"/>
                <w:szCs w:val="24"/>
              </w:rPr>
              <w:t xml:space="preserve">ММ</w:t>
            </w:r>
            <w:r>
              <w:rPr>
                <w:sz w:val="24"/>
                <w:szCs w:val="24"/>
              </w:rPr>
              <w:t xml:space="preserve"> 62.5/125 мкм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5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Манометрический индикатор плотности </w:t>
            </w:r>
            <w:r>
              <w:rPr>
                <w:sz w:val="24"/>
                <w:szCs w:val="24"/>
              </w:rPr>
              <w:t xml:space="preserve">элегаза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 температурной </w:t>
            </w:r>
            <w:r>
              <w:rPr>
                <w:sz w:val="24"/>
                <w:szCs w:val="24"/>
              </w:rPr>
              <w:t xml:space="preserve">компенсацией и </w:t>
            </w:r>
            <w:r>
              <w:rPr>
                <w:sz w:val="24"/>
                <w:szCs w:val="24"/>
              </w:rPr>
              <w:t xml:space="preserve">блок-контактами</w:t>
            </w:r>
            <w:r>
              <w:rPr>
                <w:sz w:val="24"/>
                <w:szCs w:val="24"/>
              </w:rPr>
              <w:t xml:space="preserve"> для сигнализации о снижении </w:t>
            </w:r>
            <w:r>
              <w:rPr>
                <w:sz w:val="24"/>
                <w:szCs w:val="24"/>
              </w:rPr>
              <w:t xml:space="preserve">давления и запрещения оперирования выключателем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5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93"/>
        </w:trPr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Два резервных контакта предупредительной ступени и два резервных </w:t>
            </w:r>
            <w:r>
              <w:rPr>
                <w:sz w:val="24"/>
                <w:szCs w:val="24"/>
              </w:rPr>
              <w:t xml:space="preserve">контакта аварийной ступени сигнализации снижения давления </w:t>
            </w:r>
            <w:r>
              <w:rPr>
                <w:sz w:val="24"/>
                <w:szCs w:val="24"/>
              </w:rPr>
              <w:t xml:space="preserve">элегаза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5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Автоматическая блокировка цепей управления при аварийном снижении </w:t>
            </w:r>
            <w:r>
              <w:rPr>
                <w:sz w:val="24"/>
                <w:szCs w:val="24"/>
              </w:rPr>
              <w:t xml:space="preserve">давления </w:t>
            </w:r>
            <w:r>
              <w:rPr>
                <w:sz w:val="24"/>
                <w:szCs w:val="24"/>
              </w:rPr>
              <w:t xml:space="preserve">элегаза</w:t>
            </w:r>
            <w:r>
              <w:rPr>
                <w:sz w:val="24"/>
                <w:szCs w:val="24"/>
              </w:rPr>
              <w:t xml:space="preserve"> в приводе выключателя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5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подпитки </w:t>
            </w:r>
            <w:r>
              <w:rPr>
                <w:sz w:val="24"/>
                <w:szCs w:val="24"/>
              </w:rPr>
              <w:t xml:space="preserve">элегазом</w:t>
            </w:r>
            <w:r>
              <w:rPr>
                <w:sz w:val="24"/>
                <w:szCs w:val="24"/>
              </w:rPr>
              <w:t xml:space="preserve"> (смесью)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0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 </w:t>
            </w:r>
            <w:r>
              <w:rPr>
                <w:sz w:val="24"/>
                <w:szCs w:val="24"/>
              </w:rPr>
              <w:t xml:space="preserve">нарушения цепей подогрева шкафа управления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1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Разъемы автономной герметизации </w:t>
            </w:r>
            <w:r>
              <w:rPr>
                <w:sz w:val="24"/>
                <w:szCs w:val="24"/>
              </w:rPr>
              <w:t xml:space="preserve">элегаза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2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Механический указатель включенного и отключенного положений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3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Переключатель управления – местное/дистанционное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4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Кнопки местного управления выключателем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5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Реле против «прыгания»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6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устройства ручного завода пружин привода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7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2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контактных клемм для крепления аппаратных зажимов </w:t>
            </w:r>
            <w:r>
              <w:rPr>
                <w:sz w:val="24"/>
                <w:szCs w:val="24"/>
              </w:rPr>
              <w:t xml:space="preserve">(размеры согласовываются дополнительно)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 (12 штук)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Merge w:val="restart"/>
            <w:textDirection w:val="lrTb"/>
            <w:noWrap w:val="false"/>
          </w:tcPr>
          <w:p>
            <w:pPr>
              <w:pStyle w:val="1719"/>
              <w:numPr>
                <w:ilvl w:val="0"/>
                <w:numId w:val="268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климатическому исполнению и стойкости к воздействующим климатическим </w:t>
            </w:r>
            <w:r>
              <w:rPr>
                <w:b/>
                <w:sz w:val="24"/>
                <w:szCs w:val="24"/>
              </w:rPr>
              <w:t xml:space="preserve">факторам: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Климатическое исполнение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ХЛ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Категория размещения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(ОРУ-110 </w:t>
            </w:r>
            <w:r>
              <w:rPr>
                <w:bCs/>
                <w:sz w:val="24"/>
                <w:szCs w:val="24"/>
              </w:rPr>
              <w:t xml:space="preserve">кВ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 xml:space="preserve">Верхнее рабочее значение температуры окружающего воздуха, °</w:t>
            </w:r>
            <w:r>
              <w:rPr>
                <w:bCs/>
                <w:sz w:val="24"/>
                <w:szCs w:val="24"/>
              </w:rPr>
              <w:t xml:space="preserve">С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 xml:space="preserve">для</w:t>
            </w:r>
            <w:r>
              <w:rPr>
                <w:bCs/>
                <w:sz w:val="24"/>
                <w:szCs w:val="24"/>
              </w:rPr>
              <w:t xml:space="preserve"> климатических исполнений и категорий размещения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плюс 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Нижнее рабочее значение температуры окружающего воздуха, °</w:t>
            </w:r>
            <w:r>
              <w:rPr>
                <w:bCs/>
                <w:sz w:val="24"/>
                <w:szCs w:val="24"/>
              </w:rPr>
              <w:t xml:space="preserve">С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 xml:space="preserve">для</w:t>
            </w:r>
            <w:r>
              <w:rPr>
                <w:bCs/>
                <w:sz w:val="24"/>
                <w:szCs w:val="24"/>
              </w:rPr>
              <w:t xml:space="preserve"> климатических исполнений и категорий размещения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минус 55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Высота над уровнем моря, </w:t>
            </w:r>
            <w:r>
              <w:rPr>
                <w:bCs/>
                <w:sz w:val="24"/>
                <w:szCs w:val="24"/>
              </w:rPr>
              <w:t xml:space="preserve">м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 1000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Толщина стенки гололеда, </w:t>
            </w:r>
            <w:r>
              <w:rPr>
                <w:bCs/>
                <w:sz w:val="24"/>
                <w:szCs w:val="24"/>
              </w:rPr>
              <w:t xml:space="preserve">мм</w:t>
            </w:r>
            <w:r>
              <w:rPr>
                <w:bCs/>
                <w:sz w:val="24"/>
                <w:szCs w:val="24"/>
              </w:rPr>
              <w:t xml:space="preserve">, не менее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Допустимая скорость ветра при наличии гололеда, м/</w:t>
            </w:r>
            <w:r>
              <w:rPr>
                <w:bCs/>
                <w:sz w:val="24"/>
                <w:szCs w:val="24"/>
              </w:rPr>
              <w:t xml:space="preserve">с</w:t>
            </w:r>
            <w:r>
              <w:rPr>
                <w:bCs/>
                <w:sz w:val="24"/>
                <w:szCs w:val="24"/>
              </w:rPr>
              <w:t xml:space="preserve">, не менее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Допустимая скорость ветра при отсутствии гололеда, м/</w:t>
            </w:r>
            <w:r>
              <w:rPr>
                <w:bCs/>
                <w:sz w:val="24"/>
                <w:szCs w:val="24"/>
              </w:rPr>
              <w:t xml:space="preserve">с</w:t>
            </w:r>
            <w:r>
              <w:rPr>
                <w:bCs/>
                <w:sz w:val="24"/>
                <w:szCs w:val="24"/>
              </w:rPr>
              <w:t xml:space="preserve">, не менее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Сейсмостойкость, баллов по шкале MSK-64, не менее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качеству поставляемой продукции: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должна быть новая*, ранее не используемая.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 xml:space="preserve">* - Под новым следует понимать оборудование, которое не было в употреблении, не приходило ремонт, в том числе восстановление, замену составных частей, восстановление </w:t>
            </w:r>
            <w:r>
              <w:rPr>
                <w:i/>
                <w:iCs/>
                <w:sz w:val="24"/>
                <w:szCs w:val="24"/>
              </w:rPr>
              <w:t xml:space="preserve">потребительских свойств.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выпуска продукции (оборудования)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ранее 2026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675007, Амурская область, г. Благовещенск, ул. Загородная 177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Выключатель должен иметь табличку по ГОСТ 12969-67 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ГОСТ 12971-67, содержащую следующие данные: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товарный знак или наименование предприятия-изготовителя;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изделия ("Выключатель");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тип выключателя в соответствии с 5.3 ГОСТ 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 52565-2006;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обозначение климатического исполнения и категории размещения по ГОСТ 15150;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номер по системе нумерации предприятия-изготовителя;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 в киловольтах;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 в </w:t>
            </w:r>
            <w:r>
              <w:rPr>
                <w:sz w:val="24"/>
                <w:szCs w:val="24"/>
              </w:rPr>
              <w:t xml:space="preserve">амперах;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 отключения в </w:t>
            </w:r>
            <w:r>
              <w:rPr>
                <w:sz w:val="24"/>
                <w:szCs w:val="24"/>
              </w:rPr>
              <w:t xml:space="preserve">килоамперах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давление заполнения газа (смеси газов) в </w:t>
            </w:r>
            <w:r>
              <w:rPr>
                <w:sz w:val="24"/>
                <w:szCs w:val="24"/>
              </w:rPr>
              <w:t xml:space="preserve">мегапаскалях</w:t>
            </w:r>
            <w:r>
              <w:rPr>
                <w:sz w:val="24"/>
                <w:szCs w:val="24"/>
              </w:rPr>
              <w:t xml:space="preserve"> (и рядом в скобках - в килограмм-силах на квадратный сантиметр) при 20</w:t>
            </w:r>
            <w:r>
              <w:rPr>
                <w:sz w:val="24"/>
                <w:szCs w:val="24"/>
              </w:rPr>
              <w:t xml:space="preserve"> °С</w:t>
            </w:r>
            <w:r>
              <w:rPr>
                <w:sz w:val="24"/>
                <w:szCs w:val="24"/>
              </w:rPr>
              <w:t xml:space="preserve"> - для газовых выключателей;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выключателя в килограммах;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обозначение настоящего стандарта или ТУ;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719"/>
              <w:numPr>
                <w:ilvl w:val="0"/>
                <w:numId w:val="228"/>
              </w:numPr>
              <w:ind w:left="0" w:firstLine="0"/>
              <w:rPr>
                <w:bCs/>
              </w:rPr>
            </w:pPr>
            <w:r>
              <w:rPr>
                <w:sz w:val="24"/>
                <w:szCs w:val="24"/>
              </w:rPr>
              <w:t xml:space="preserve">дата изготовления (год выпуска) выключателя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Транспортная маркировка грузов - по ГОСТ 14192-77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Выключатели или их части (при транспортировании выключателей в частично разобранном виде) должны быть упакованы для транспортирования в плотные или решетчатые ящики по ГОСТ 10198 или ГОСТ 2991 или в специальную тару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Согласие с требованием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неокрашенные металлические части выключателя должны быть </w:t>
            </w:r>
            <w:r>
              <w:rPr>
                <w:sz w:val="24"/>
                <w:szCs w:val="24"/>
              </w:rPr>
              <w:t xml:space="preserve">подвергнуты консервации по ГОСТ 23216-78.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хранения по ГОСТ 15150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ind w:left="72"/>
              <w:tabs>
                <w:tab w:val="num" w:pos="432" w:leader="none"/>
                <w:tab w:val="left" w:pos="4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Согласно предложению завода-изготовителя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транспортирования согласно ГОСТ 23216-78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Согласно предложению завода-изготовителя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хранения, не менее, лет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эксплуатации, обеспечению и утилизации: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монтаж выключателя должно соответствовать требованиям Правилам технической эксплуатации электрических сетей, Правилам организации технического обслуживания и ремонта объектов электроэнергетики, Правилам устройств электроустановок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в заводской </w:t>
            </w:r>
            <w:r>
              <w:rPr>
                <w:sz w:val="24"/>
                <w:szCs w:val="24"/>
              </w:rPr>
              <w:t xml:space="preserve">документации требований по мерам безопасности, перечня составных частей и методов утилизации изделий, представляющих опасность для жизни, здоровью людей и окружающей среды после окончания срока службы выключателя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с </w:t>
            </w:r>
            <w:r>
              <w:rPr>
                <w:sz w:val="24"/>
                <w:szCs w:val="24"/>
              </w:rPr>
              <w:t xml:space="preserve">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обслуживанию: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эксплуатации выключателя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двух лет со дня ввода в эксплуатацию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заключения договора на </w:t>
            </w:r>
            <w:r>
              <w:rPr>
                <w:sz w:val="24"/>
                <w:szCs w:val="24"/>
              </w:rPr>
              <w:t xml:space="preserve">постгарантийное</w:t>
            </w:r>
            <w:r>
              <w:rPr>
                <w:sz w:val="24"/>
                <w:szCs w:val="24"/>
              </w:rPr>
              <w:t xml:space="preserve"> обслуживание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сервисных центров на территории РФ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Гарантии распространяются на все поставляемое оборудование.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гарантийного срока должна быть обеспечена безвозмездная замена или ремонт вышедшего из строя </w:t>
            </w:r>
            <w:r>
              <w:rPr>
                <w:sz w:val="24"/>
                <w:szCs w:val="24"/>
              </w:rPr>
              <w:t xml:space="preserve">оборудования, 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Поставщик осуществляет за свой счет.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комплектации и документам, поставляемым вместе с продукцией: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Эксплуатационная документация по ГОСТ 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 2.601-2019, экз.: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руководство по эксплуатации;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формуляр или паспорт;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ведомость ЗИП в виде отдельного документа или как составная часть паспорта или формуляра.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(1 в электронном виде)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соблюдению положений нормативной и иной обязательной для поставщика документации: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 всем неоговоренном выключатели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встраиваемое оборудование должны соответствовать требованиям ГОСТ 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 52565-2006, ПУЭ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экономическим параметрам: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службы, не менее, лет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службы до среднего (капитального) ремонта, лет,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0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сопутствующим услугам: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49"/>
        </w:trPr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к шефмонтажу: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719"/>
              <w:numPr>
                <w:ilvl w:val="1"/>
                <w:numId w:val="302"/>
              </w:numPr>
              <w:ind w:left="0" w:firstLine="0"/>
              <w:suppressLineNumbers w:val="0"/>
            </w:pPr>
            <w:r/>
            <w:r/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монтаже технического представителя завода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textDirection w:val="lrTb"/>
            <w:noWrap w:val="false"/>
          </w:tcPr>
          <w:p>
            <w:pPr>
              <w:pStyle w:val="1719"/>
              <w:numPr>
                <w:ilvl w:val="0"/>
                <w:numId w:val="229"/>
              </w:numPr>
              <w:ind w:left="229" w:hanging="22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Тех. предложение (п.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_Ref184912228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2.2.1.1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left="426"/>
        <w:jc w:val="both"/>
        <w:spacing w:after="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Примечания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719"/>
        <w:numPr>
          <w:ilvl w:val="0"/>
          <w:numId w:val="49"/>
        </w:numPr>
        <w:jc w:val="both"/>
        <w:spacing w:after="60"/>
      </w:pPr>
      <w:r>
        <w:t xml:space="preserve">В случае если какой-либо из указанных в настоящих </w:t>
      </w:r>
      <w:r>
        <w:t xml:space="preserve">ТТ</w:t>
      </w:r>
      <w:r>
        <w:t xml:space="preserve"> ГОСТ или нормативный документ был отменен в связи с выпуском новой редакции стандарта, то Участнику необходимо применять актуализированный ГОСТ или нормативный документ, принятый в его развитие</w:t>
      </w:r>
      <w:r>
        <w:t xml:space="preserve">.</w:t>
      </w:r>
      <w:r/>
    </w:p>
    <w:p>
      <w:pPr>
        <w:pStyle w:val="1719"/>
        <w:numPr>
          <w:ilvl w:val="0"/>
          <w:numId w:val="49"/>
        </w:numPr>
        <w:jc w:val="both"/>
        <w:spacing w:after="60"/>
      </w:pPr>
      <w:r>
        <w:t xml:space="preserve">Указанные в настоящ</w:t>
      </w:r>
      <w:r>
        <w:t xml:space="preserve">их</w:t>
      </w:r>
      <w:r>
        <w:t xml:space="preserve">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</w:t>
      </w:r>
      <w:r>
        <w:t xml:space="preserve">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</w:t>
      </w:r>
      <w:r>
        <w:t xml:space="preserve">их</w:t>
      </w:r>
      <w:r>
        <w:t xml:space="preserve"> ТТ требований. 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</w:t>
      </w:r>
      <w:r>
        <w:t xml:space="preserve">ным срокам и срокам эксплуатации</w:t>
      </w:r>
      <w:r>
        <w:t xml:space="preserve">.</w:t>
      </w:r>
      <w:r/>
    </w:p>
    <w:p>
      <w:pPr>
        <w:jc w:val="both"/>
        <w:rPr>
          <w:rStyle w:val="1750"/>
          <w:sz w:val="24"/>
          <w:szCs w:val="24"/>
        </w:rPr>
      </w:pPr>
      <w:r/>
      <w:bookmarkStart w:id="43" w:name="_Toc184661960"/>
      <w:r/>
      <w:bookmarkStart w:id="44" w:name="_Toc184662352"/>
      <w:r/>
      <w:bookmarkStart w:id="45" w:name="_Toc184662430"/>
      <w:r/>
      <w:bookmarkStart w:id="46" w:name="_Toc184662456"/>
      <w:r/>
      <w:bookmarkStart w:id="47" w:name="_Toc184661961"/>
      <w:r/>
      <w:bookmarkStart w:id="48" w:name="_Toc184662353"/>
      <w:r/>
      <w:bookmarkStart w:id="49" w:name="_Toc184662431"/>
      <w:r/>
      <w:bookmarkStart w:id="50" w:name="_Toc184662457"/>
      <w:r/>
      <w:bookmarkEnd w:id="43"/>
      <w:r/>
      <w:bookmarkEnd w:id="44"/>
      <w:r/>
      <w:bookmarkEnd w:id="45"/>
      <w:r/>
      <w:bookmarkEnd w:id="46"/>
      <w:r/>
      <w:bookmarkEnd w:id="47"/>
      <w:r/>
      <w:bookmarkEnd w:id="48"/>
      <w:r/>
      <w:bookmarkEnd w:id="49"/>
      <w:r/>
      <w:bookmarkEnd w:id="50"/>
      <w:r>
        <w:rPr>
          <w:rStyle w:val="1750"/>
          <w:sz w:val="24"/>
          <w:szCs w:val="24"/>
        </w:rPr>
      </w:r>
      <w:r>
        <w:rPr>
          <w:rStyle w:val="1750"/>
          <w:sz w:val="24"/>
          <w:szCs w:val="24"/>
        </w:rPr>
      </w:r>
    </w:p>
    <w:p>
      <w:pPr>
        <w:pStyle w:val="1655"/>
        <w:numPr>
          <w:ilvl w:val="2"/>
          <w:numId w:val="299"/>
        </w:numPr>
        <w:rPr>
          <w:sz w:val="24"/>
          <w:szCs w:val="24"/>
        </w:rPr>
      </w:pPr>
      <w:r>
        <w:rPr>
          <w:sz w:val="24"/>
          <w:szCs w:val="24"/>
        </w:rPr>
      </w:r>
      <w:bookmarkStart w:id="51" w:name="_Toc184661962"/>
      <w:r>
        <w:rPr>
          <w:sz w:val="24"/>
          <w:szCs w:val="24"/>
        </w:rPr>
      </w:r>
      <w:bookmarkStart w:id="52" w:name="_Toc184662354"/>
      <w:r>
        <w:rPr>
          <w:sz w:val="24"/>
          <w:szCs w:val="24"/>
        </w:rPr>
      </w:r>
      <w:bookmarkStart w:id="53" w:name="_Toc184662432"/>
      <w:r>
        <w:rPr>
          <w:sz w:val="24"/>
          <w:szCs w:val="24"/>
        </w:rPr>
      </w:r>
      <w:bookmarkStart w:id="54" w:name="_Toc184662458"/>
      <w:r>
        <w:rPr>
          <w:sz w:val="24"/>
          <w:szCs w:val="24"/>
        </w:rPr>
      </w:r>
      <w:bookmarkStart w:id="55" w:name="_Toc191395491"/>
      <w:r>
        <w:rPr>
          <w:sz w:val="24"/>
          <w:szCs w:val="24"/>
        </w:rPr>
      </w:r>
      <w:bookmarkEnd w:id="51"/>
      <w:r>
        <w:rPr>
          <w:sz w:val="24"/>
          <w:szCs w:val="24"/>
        </w:rPr>
      </w:r>
      <w:bookmarkEnd w:id="52"/>
      <w:r>
        <w:rPr>
          <w:sz w:val="24"/>
          <w:szCs w:val="24"/>
        </w:rPr>
      </w:r>
      <w:bookmarkEnd w:id="53"/>
      <w:r>
        <w:rPr>
          <w:sz w:val="24"/>
          <w:szCs w:val="24"/>
        </w:rPr>
      </w:r>
      <w:bookmarkEnd w:id="54"/>
      <w:r>
        <w:rPr>
          <w:sz w:val="24"/>
          <w:szCs w:val="24"/>
        </w:rPr>
        <w:t xml:space="preserve"> В составе заявки</w:t>
      </w:r>
      <w:r>
        <w:rPr>
          <w:sz w:val="24"/>
          <w:szCs w:val="24"/>
        </w:rPr>
        <w:t xml:space="preserve"> необходимо предоставить</w:t>
      </w:r>
      <w:bookmarkEnd w:id="5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Участник в составе своей заявки для подтверждения соответствия заявленных характеристик </w:t>
      </w:r>
      <w:r>
        <w:rPr>
          <w:sz w:val="24"/>
          <w:szCs w:val="24"/>
        </w:rPr>
        <w:t xml:space="preserve">и конструктива предложенной продукции</w:t>
      </w:r>
      <w:r>
        <w:rPr>
          <w:sz w:val="24"/>
          <w:szCs w:val="24"/>
        </w:rPr>
        <w:t xml:space="preserve"> поставляемой продукции, требованиям </w:t>
      </w:r>
      <w:r>
        <w:rPr>
          <w:sz w:val="24"/>
          <w:szCs w:val="24"/>
        </w:rPr>
        <w:t xml:space="preserve">настоящих ТТ</w:t>
      </w:r>
      <w:r>
        <w:rPr>
          <w:sz w:val="24"/>
          <w:szCs w:val="24"/>
        </w:rPr>
        <w:t xml:space="preserve">, предоставляет следующие документы: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2.2.1.1 </w:t>
      </w:r>
      <w:bookmarkStart w:id="56" w:name="_Ref184912228"/>
      <w:r>
        <w:rPr>
          <w:sz w:val="24"/>
          <w:szCs w:val="24"/>
        </w:rPr>
        <w:t xml:space="preserve">Техническое предложение, подготовленное </w:t>
      </w:r>
      <w:r>
        <w:rPr>
          <w:sz w:val="24"/>
          <w:szCs w:val="24"/>
        </w:rPr>
        <w:t xml:space="preserve">в соответствии с настоящими ТТ </w:t>
      </w:r>
      <w:r>
        <w:rPr>
          <w:sz w:val="24"/>
          <w:szCs w:val="24"/>
        </w:rPr>
        <w:t xml:space="preserve">по форме</w:t>
      </w:r>
      <w:r>
        <w:rPr>
          <w:sz w:val="24"/>
          <w:szCs w:val="24"/>
        </w:rPr>
        <w:t xml:space="preserve">, представленной в документации о закупке</w:t>
      </w:r>
      <w:r>
        <w:rPr>
          <w:sz w:val="24"/>
          <w:szCs w:val="24"/>
        </w:rPr>
        <w:t xml:space="preserve">. При описании продукции Участник обязан подтвердить соответствие поставляемой продукции требованиям в отношении всех показателей, которые установлены</w:t>
      </w:r>
      <w:r>
        <w:rPr>
          <w:sz w:val="24"/>
          <w:szCs w:val="24"/>
        </w:rPr>
        <w:t xml:space="preserve"> в ТТ. При этом должны указываться точные и не допускающие двусмысленного толкования показатели</w:t>
      </w:r>
      <w:r>
        <w:rPr>
          <w:sz w:val="24"/>
          <w:szCs w:val="24"/>
        </w:rPr>
        <w:t xml:space="preserve">.</w:t>
      </w:r>
      <w:bookmarkEnd w:id="5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bookmarkStart w:id="57" w:name="_Ref184912253"/>
      <w:r>
        <w:rPr>
          <w:sz w:val="24"/>
          <w:szCs w:val="24"/>
        </w:rPr>
        <w:t xml:space="preserve">2.2.1.2. К</w:t>
      </w:r>
      <w:r>
        <w:rPr>
          <w:sz w:val="24"/>
          <w:szCs w:val="24"/>
        </w:rPr>
        <w:t xml:space="preserve">опию действующей декларации о соответств</w:t>
      </w:r>
      <w:r>
        <w:rPr>
          <w:sz w:val="24"/>
          <w:szCs w:val="24"/>
        </w:rPr>
        <w:t xml:space="preserve">ии, в соответствии с Федеральным Законом от 27.12.2002 г. № 184-ФЗ «О техническом регулировании», Постановлением Правительства РФ от 23.12.2021 г. № 2425 «Об утверждении единого перечня продукции, подлежащей обязательной сертификации, и единого перечня про</w:t>
      </w:r>
      <w:r>
        <w:rPr>
          <w:sz w:val="24"/>
          <w:szCs w:val="24"/>
        </w:rPr>
        <w:t xml:space="preserve">дукции, подлежащей декларированию соответствия».</w:t>
      </w:r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Декларация о соответствии должна иметь электронную регистрацию (статус действующего документа)  в едином реестре</w:t>
      </w:r>
      <w:r>
        <w:rPr>
          <w:sz w:val="24"/>
          <w:szCs w:val="24"/>
        </w:rPr>
        <w:t xml:space="preserve"> деклараций на сайте https://fsa.gov.ru/ (требование п.6 ст.24 ФЗ-184, должна быть с приложением документов, на основании которых выданы декларации (в том числе, но не ограничиваясь: протокол испытаний и измерений, выполненных согласно  ГОСТ Р 52565-2006 и</w:t>
      </w:r>
      <w:r>
        <w:rPr>
          <w:sz w:val="24"/>
          <w:szCs w:val="24"/>
        </w:rPr>
        <w:t xml:space="preserve"> проведенных в аккредитованной в установленном порядке и независимой лаборатории (испытательного центра), имеющей российский аттестат аккредитации, либо сертификат системы качества, выданный органом по сертификации, аккредитованным в установленном порядке)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Высоковольтное оборудование должно иметь декларацию о соответствии (высоковольтные выключатели ГОСТ 1516.3-96, ГОСТ Р 52565-2006)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2.2.1.3. </w:t>
      </w:r>
      <w:bookmarkStart w:id="58" w:name="_Ref184912271"/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абаритно – установочные чертежи с присоединительными и установочными размерам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и размерами выключателя.</w:t>
      </w:r>
      <w:bookmarkEnd w:id="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  <w:t xml:space="preserve">2.2.1.4. </w:t>
      </w:r>
      <w:r>
        <w:rPr>
          <w:sz w:val="24"/>
          <w:szCs w:val="24"/>
          <w:highlight w:val="none"/>
        </w:rPr>
        <w:t xml:space="preserve">К</w:t>
      </w:r>
      <w:r>
        <w:rPr>
          <w:sz w:val="24"/>
          <w:szCs w:val="24"/>
          <w:highlight w:val="none"/>
        </w:rPr>
        <w:t xml:space="preserve">опии Протоколов испытаний (на механические воздействия, на коммутацию тока холостого хода трансформатора и зарядных токов воздушных и кабельных линий, электрической прочности изоляции, длины пути утечки внешней изоляции) проведенных в аккредитованной испыт</w:t>
      </w:r>
      <w:r>
        <w:rPr>
          <w:sz w:val="24"/>
          <w:szCs w:val="24"/>
          <w:highlight w:val="none"/>
        </w:rPr>
        <w:t xml:space="preserve">ательной лаборатории, подтверждающих соответствие оборудования требованиям ГОСТ Р 52565-2006.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426" w:firstLine="720"/>
        <w:jc w:val="both"/>
        <w:spacing w:after="6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2.2.1.5. </w:t>
      </w:r>
      <w:bookmarkStart w:id="60" w:name="_Ref184912356"/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видетельство об утверждении типа на тран</w:t>
      </w:r>
      <w:r>
        <w:rPr>
          <w:sz w:val="24"/>
          <w:szCs w:val="24"/>
        </w:rPr>
        <w:t xml:space="preserve">сформаторы тока. Измерительные трансформаторы тока, применяемые в сфере государственного регулирования, должны иметь действующее «Свидетельство об утверждении типа», согласно Федерального Закона от 26.06.2008 г. № 102-ФЗ «Об обеспечении единства измерений»</w:t>
      </w:r>
      <w:r>
        <w:rPr>
          <w:sz w:val="24"/>
          <w:szCs w:val="24"/>
        </w:rPr>
        <w:t xml:space="preserve">.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jc w:val="center"/>
        <w:rPr>
          <w:b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653"/>
      </w:pPr>
      <w:r/>
      <w:bookmarkStart w:id="65" w:name="_Toc53393312"/>
      <w:r/>
      <w:bookmarkStart w:id="66" w:name="_Toc46743519"/>
      <w:r/>
      <w:bookmarkStart w:id="67" w:name="_Toc51339699"/>
      <w:r/>
      <w:bookmarkStart w:id="68" w:name="_Toc191395492"/>
      <w:r>
        <w:t xml:space="preserve">Требования к документации по ценообразованию</w:t>
      </w:r>
      <w:bookmarkEnd w:id="65"/>
      <w:r>
        <w:t xml:space="preserve"> на этапе закупки</w:t>
      </w:r>
      <w:bookmarkEnd w:id="68"/>
      <w:r/>
      <w:r/>
    </w:p>
    <w:p>
      <w:pPr>
        <w:jc w:val="both"/>
        <w:spacing w:before="60"/>
        <w:widowControl w:val="off"/>
        <w:tabs>
          <w:tab w:val="left" w:pos="426" w:leader="none"/>
        </w:tabs>
        <w:rPr>
          <w:rStyle w:val="1750"/>
          <w:b w:val="0"/>
          <w:bCs w:val="0"/>
          <w:sz w:val="24"/>
          <w:szCs w:val="24"/>
          <w:highlight w:val="white"/>
        </w:rPr>
      </w:pPr>
      <w:r>
        <w:rPr>
          <w:rStyle w:val="1750"/>
          <w:b w:val="0"/>
          <w:bCs w:val="0"/>
          <w:sz w:val="24"/>
          <w:szCs w:val="24"/>
          <w:highlight w:val="white"/>
        </w:rPr>
      </w:r>
      <w:r>
        <w:rPr>
          <w:rStyle w:val="1750"/>
          <w:b w:val="0"/>
          <w:bCs w:val="0"/>
          <w:sz w:val="24"/>
          <w:szCs w:val="24"/>
          <w:highlight w:val="white"/>
        </w:rPr>
      </w:r>
      <w:r>
        <w:rPr>
          <w:rStyle w:val="1750"/>
          <w:b w:val="0"/>
          <w:bCs w:val="0"/>
          <w:sz w:val="24"/>
          <w:szCs w:val="24"/>
          <w:highlight w:val="white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3.1. В обоснование стоимости своей заяв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и Участник пред</w:t>
      </w:r>
      <w:r>
        <w:rPr>
          <w:sz w:val="24"/>
          <w:szCs w:val="24"/>
        </w:rPr>
        <w:t xml:space="preserve">оставляет Коммерческое предложение по форме (с учетом прилагаемой к ней инструкции по заполнению), приведенной в Документации о закупке, с приложением информационной справки о стоимости сопутствующих услуг по шеф-монтажу и шеф-наладке в произвольной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       3.2. </w:t>
      </w:r>
      <w:r>
        <w:rPr>
          <w:sz w:val="24"/>
          <w:szCs w:val="24"/>
          <w:highlight w:val="none"/>
        </w:rPr>
        <w:t xml:space="preserve">Вместе с Коммерческим предложением Участник должен предоставить в составе заявки спецификацию поставляемого оборудования по форме, приведенной в </w:t>
      </w:r>
      <w:r>
        <w:rPr>
          <w:i/>
          <w:iCs/>
          <w:sz w:val="24"/>
          <w:szCs w:val="24"/>
          <w:highlight w:val="none"/>
        </w:rPr>
        <w:t xml:space="preserve">Приложении №1.1</w:t>
      </w:r>
      <w:r>
        <w:rPr>
          <w:sz w:val="24"/>
          <w:szCs w:val="24"/>
          <w:highlight w:val="none"/>
        </w:rPr>
        <w:t xml:space="preserve"> </w:t>
      </w:r>
      <w:r>
        <w:rPr>
          <w:i/>
          <w:iCs/>
          <w:sz w:val="24"/>
          <w:szCs w:val="24"/>
          <w:highlight w:val="none"/>
        </w:rPr>
        <w:t xml:space="preserve">к</w:t>
      </w:r>
      <w:r>
        <w:rPr>
          <w:i/>
          <w:iCs/>
          <w:sz w:val="24"/>
          <w:szCs w:val="24"/>
          <w:highlight w:val="none"/>
        </w:rPr>
        <w:t xml:space="preserve"> </w:t>
      </w:r>
      <w:r>
        <w:rPr>
          <w:i/>
          <w:iCs/>
          <w:sz w:val="24"/>
          <w:szCs w:val="24"/>
          <w:highlight w:val="none"/>
        </w:rPr>
        <w:t xml:space="preserve">настоящим Техническим требованиям</w:t>
      </w:r>
      <w:r>
        <w:rPr>
          <w:sz w:val="24"/>
          <w:szCs w:val="24"/>
          <w:highlight w:val="none"/>
        </w:rPr>
        <w:t xml:space="preserve"> (в случае закупки оборудования (материалов) комплектом в спец</w:t>
      </w:r>
      <w:r>
        <w:rPr>
          <w:sz w:val="24"/>
          <w:szCs w:val="24"/>
          <w:highlight w:val="none"/>
        </w:rPr>
        <w:t xml:space="preserve">ификации необходимо разбить его на позиции с указанием полного наименования (тип, марка, артикул) каждой составляющей и стоимости за единицу).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750"/>
          <w:b w:val="0"/>
          <w:bCs w:val="0"/>
          <w:sz w:val="24"/>
          <w:szCs w:val="24"/>
          <w:highlight w:val="white"/>
        </w:rPr>
      </w:pPr>
      <w:r>
        <w:rPr>
          <w:rStyle w:val="1750"/>
          <w:b w:val="0"/>
          <w:bCs/>
          <w:iCs/>
          <w:sz w:val="24"/>
          <w:szCs w:val="24"/>
          <w:highlight w:val="none"/>
        </w:rPr>
      </w:r>
      <w:r>
        <w:rPr>
          <w:rStyle w:val="1750"/>
          <w:b w:val="0"/>
          <w:bCs w:val="0"/>
          <w:sz w:val="24"/>
          <w:szCs w:val="24"/>
          <w:highlight w:val="white"/>
        </w:rPr>
      </w:r>
      <w:r>
        <w:rPr>
          <w:rStyle w:val="1750"/>
          <w:b w:val="0"/>
          <w:bCs w:val="0"/>
          <w:sz w:val="24"/>
          <w:szCs w:val="24"/>
          <w:highlight w:val="white"/>
        </w:rPr>
      </w:r>
    </w:p>
    <w:p>
      <w:pPr>
        <w:pStyle w:val="1653"/>
      </w:pPr>
      <w:r/>
      <w:bookmarkStart w:id="69" w:name="_Toc191395493"/>
      <w:r>
        <w:t xml:space="preserve">Требования к документации по ценообразованию на этапе заключения </w:t>
      </w:r>
      <w:r>
        <w:t xml:space="preserve">(исполнения) </w:t>
      </w:r>
      <w:r>
        <w:t xml:space="preserve">договора</w:t>
      </w:r>
      <w:bookmarkEnd w:id="69"/>
      <w:r/>
      <w:r/>
    </w:p>
    <w:p>
      <w:pPr>
        <w:ind w:firstLine="993"/>
        <w:jc w:val="both"/>
        <w:spacing w:after="240"/>
        <w:tabs>
          <w:tab w:val="num" w:pos="1440" w:leader="none"/>
        </w:tabs>
        <w:rPr>
          <w:b/>
          <w:bCs/>
          <w:i/>
          <w:iCs/>
          <w:sz w:val="24"/>
          <w:szCs w:val="24"/>
          <w:highlight w:val="none"/>
        </w:rPr>
      </w:pPr>
      <w:r>
        <w:rPr>
          <w:bCs/>
          <w:i w:val="0"/>
          <w:iCs w:val="0"/>
          <w:sz w:val="24"/>
          <w:szCs w:val="24"/>
        </w:rPr>
        <w:t xml:space="preserve">В рамках реализации договора </w:t>
      </w:r>
      <w:r>
        <w:rPr>
          <w:bCs/>
          <w:i w:val="0"/>
          <w:iCs w:val="0"/>
          <w:sz w:val="24"/>
          <w:szCs w:val="24"/>
        </w:rPr>
        <w:t xml:space="preserve">сметную документацию в обоснование стоимости сопутствующих услуг </w:t>
      </w:r>
      <w:r>
        <w:rPr>
          <w:bCs/>
          <w:i w:val="0"/>
          <w:iCs w:val="0"/>
          <w:sz w:val="24"/>
          <w:szCs w:val="24"/>
        </w:rPr>
        <w:t xml:space="preserve">по </w:t>
      </w:r>
      <w:r>
        <w:rPr>
          <w:bCs/>
          <w:i w:val="0"/>
          <w:iCs w:val="0"/>
          <w:sz w:val="24"/>
          <w:szCs w:val="24"/>
        </w:rPr>
        <w:t xml:space="preserve">шефмонтаж</w:t>
      </w:r>
      <w:r>
        <w:rPr>
          <w:bCs/>
          <w:i w:val="0"/>
          <w:iCs w:val="0"/>
          <w:sz w:val="24"/>
          <w:szCs w:val="24"/>
        </w:rPr>
        <w:t xml:space="preserve">у</w:t>
      </w:r>
      <w:r>
        <w:rPr>
          <w:bCs/>
          <w:i w:val="0"/>
          <w:iCs w:val="0"/>
          <w:sz w:val="24"/>
          <w:szCs w:val="24"/>
        </w:rPr>
        <w:t xml:space="preserve"> </w:t>
      </w:r>
      <w:r>
        <w:rPr>
          <w:bCs/>
          <w:i w:val="0"/>
          <w:iCs w:val="0"/>
          <w:sz w:val="24"/>
          <w:szCs w:val="24"/>
        </w:rPr>
        <w:t xml:space="preserve">необходимо составлять и оформлять </w:t>
      </w:r>
      <w:r>
        <w:rPr>
          <w:i w:val="0"/>
          <w:iCs w:val="0"/>
          <w:sz w:val="24"/>
          <w:szCs w:val="24"/>
        </w:rPr>
        <w:t xml:space="preserve">в соответствии с требованиями к оформлению и составлению сметной документации на оказание услуг по шефмонтажу, указанными </w:t>
      </w:r>
      <w:r>
        <w:rPr>
          <w:bCs/>
          <w:i w:val="0"/>
          <w:iCs w:val="0"/>
          <w:sz w:val="24"/>
          <w:szCs w:val="24"/>
        </w:rPr>
        <w:t xml:space="preserve">в Приложении № </w:t>
      </w:r>
      <w:r>
        <w:rPr>
          <w:bCs/>
          <w:i w:val="0"/>
          <w:iCs w:val="0"/>
          <w:sz w:val="24"/>
          <w:szCs w:val="24"/>
        </w:rPr>
        <w:t xml:space="preserve">1.2 к настоящим Техническим требованиям</w:t>
      </w:r>
      <w:r>
        <w:rPr>
          <w:i w:val="0"/>
          <w:iCs w:val="0"/>
          <w:sz w:val="24"/>
          <w:szCs w:val="24"/>
        </w:rPr>
        <w:t xml:space="preserve">.</w:t>
      </w:r>
      <w:r>
        <w:rPr>
          <w:b/>
          <w:bCs/>
          <w:i/>
          <w:iCs/>
          <w:sz w:val="24"/>
          <w:szCs w:val="24"/>
          <w:highlight w:val="none"/>
        </w:rPr>
      </w:r>
      <w:r>
        <w:rPr>
          <w:b/>
          <w:bCs/>
          <w:i/>
          <w:iCs/>
          <w:sz w:val="24"/>
          <w:szCs w:val="24"/>
          <w:highlight w:val="none"/>
        </w:rPr>
      </w:r>
    </w:p>
    <w:p>
      <w:pPr>
        <w:ind w:firstLine="993"/>
        <w:jc w:val="center"/>
        <w:spacing w:after="240"/>
        <w:tabs>
          <w:tab w:val="num" w:pos="1440" w:leader="none"/>
        </w:tabs>
        <w:rPr>
          <w:b/>
          <w:bCs/>
          <w:i w:val="0"/>
          <w:sz w:val="28"/>
          <w:szCs w:val="28"/>
        </w:rPr>
      </w:pPr>
      <w:r>
        <w:rPr>
          <w:b/>
          <w:bCs/>
          <w:i w:val="0"/>
          <w:iCs w:val="0"/>
          <w:sz w:val="28"/>
          <w:szCs w:val="28"/>
        </w:rPr>
        <w:t xml:space="preserve">5. Требования </w:t>
      </w:r>
      <w:r>
        <w:rPr>
          <w:b/>
          <w:bCs/>
          <w:i w:val="0"/>
          <w:iCs w:val="0"/>
          <w:sz w:val="28"/>
          <w:szCs w:val="28"/>
        </w:rPr>
        <w:t xml:space="preserve">к победителю (по оценочному критерию «Отношение Участника закупки к изготовителю предлагаемой продукции»)</w:t>
      </w:r>
      <w:r>
        <w:rPr>
          <w:b/>
          <w:bCs/>
          <w:i w:val="0"/>
          <w:sz w:val="28"/>
          <w:szCs w:val="28"/>
        </w:rPr>
      </w:r>
      <w:r>
        <w:rPr>
          <w:b/>
          <w:bCs/>
          <w:i w:val="0"/>
          <w:sz w:val="28"/>
          <w:szCs w:val="28"/>
        </w:rPr>
      </w:r>
    </w:p>
    <w:p>
      <w:pPr>
        <w:ind w:firstLine="993"/>
        <w:jc w:val="both"/>
        <w:spacing w:after="240"/>
        <w:tabs>
          <w:tab w:val="num" w:pos="1440" w:leader="none"/>
        </w:tabs>
      </w:pPr>
      <w:r>
        <w:rPr>
          <w:b w:val="0"/>
          <w:bCs w:val="0"/>
          <w:i w:val="0"/>
          <w:iCs w:val="0"/>
          <w:sz w:val="24"/>
          <w:szCs w:val="24"/>
        </w:rPr>
        <w:t xml:space="preserve">Информация, представленная в составе заявки Участника, признанного победителем закупочной процедуры, в течение 5 (пяти) рабочих дней после размещения протокола подведения итогов закупки на сайте www.zakupki.gov.ru (до заключения договора), будет проверен</w:t>
      </w:r>
      <w:r>
        <w:rPr>
          <w:b w:val="0"/>
          <w:bCs w:val="0"/>
          <w:i w:val="0"/>
          <w:iCs w:val="0"/>
          <w:sz w:val="24"/>
          <w:szCs w:val="24"/>
        </w:rPr>
        <w:t xml:space="preserve">а на предмет достоверности сведений, указанных в документах, подтверждающих признак аффилированности к изготовителю продукции, и в приложении No_ к ДоЗ - Форма КП и Структура НМЦ.</w:t>
      </w:r>
      <w:r>
        <w:rPr>
          <w:b w:val="0"/>
          <w:bCs w:val="0"/>
          <w:i w:val="0"/>
          <w:iCs w:val="0"/>
          <w:sz w:val="24"/>
          <w:szCs w:val="24"/>
        </w:rPr>
      </w:r>
      <w:r/>
    </w:p>
    <w:p>
      <w:pPr>
        <w:ind w:firstLine="993"/>
        <w:jc w:val="both"/>
        <w:spacing w:after="240"/>
        <w:tabs>
          <w:tab w:val="num" w:pos="1440" w:leader="none"/>
        </w:tabs>
        <w:rPr>
          <w:b w:val="0"/>
          <w:bCs w:val="0"/>
          <w:i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t xml:space="preserve">В</w:t>
      </w:r>
      <w:r>
        <w:rPr>
          <w:b w:val="0"/>
          <w:bCs w:val="0"/>
          <w:i w:val="0"/>
          <w:iCs w:val="0"/>
          <w:sz w:val="24"/>
          <w:szCs w:val="24"/>
        </w:rPr>
        <w:t xml:space="preserve"> случае выявления недостоверных сведений,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</w:t>
      </w:r>
      <w:r>
        <w:rPr>
          <w:b w:val="0"/>
          <w:bCs w:val="0"/>
          <w:i w:val="0"/>
          <w:iCs w:val="0"/>
          <w:sz w:val="24"/>
          <w:szCs w:val="24"/>
        </w:rPr>
        <w:t xml:space="preserve">ок после Победителя, из числа остальных допущенных заявок.</w:t>
      </w:r>
      <w:r>
        <w:rPr>
          <w:b w:val="0"/>
          <w:bCs w:val="0"/>
          <w:i w:val="0"/>
          <w:sz w:val="24"/>
          <w:szCs w:val="24"/>
        </w:rPr>
      </w:r>
      <w:r>
        <w:rPr>
          <w:b w:val="0"/>
          <w:bCs w:val="0"/>
          <w:i w:val="0"/>
          <w:sz w:val="24"/>
          <w:szCs w:val="24"/>
        </w:rPr>
      </w:r>
    </w:p>
    <w:p>
      <w:pPr>
        <w:pStyle w:val="1653"/>
        <w:numPr>
          <w:ilvl w:val="0"/>
          <w:numId w:val="0"/>
        </w:numPr>
        <w:ind w:left="426" w:firstLine="0"/>
      </w:pPr>
      <w:r>
        <w:t xml:space="preserve">6. </w:t>
      </w:r>
      <w:bookmarkStart w:id="70" w:name="_Toc191395494"/>
      <w:r>
        <w:t xml:space="preserve">Приложения</w:t>
      </w:r>
      <w:bookmarkEnd w:id="66"/>
      <w:r/>
      <w:bookmarkEnd w:id="67"/>
      <w:r/>
      <w:bookmarkEnd w:id="70"/>
      <w:r/>
      <w:r/>
    </w:p>
    <w:p>
      <w:pPr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№1 </w:t>
      </w:r>
      <w:r>
        <w:rPr>
          <w:sz w:val="24"/>
          <w:szCs w:val="24"/>
          <w:highlight w:val="none"/>
        </w:rPr>
        <w:t xml:space="preserve">Требования к оформлению и составлению документации по ценообразованию</w:t>
      </w:r>
      <w:r>
        <w:rPr>
          <w:sz w:val="24"/>
          <w:szCs w:val="24"/>
          <w:highlight w:val="none"/>
        </w:rPr>
        <w:t xml:space="preserve">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№1.1 Спецификация поставляемого оборудования.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Приложение №1.2</w:t>
      </w:r>
      <w:r>
        <w:rPr>
          <w:sz w:val="24"/>
          <w:szCs w:val="24"/>
        </w:rPr>
        <w:t xml:space="preserve"> Требования к оформлению и составлению сметной документации на оказание услуг по шеф-монтажу и шеф-наладке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jc w:val="left"/>
        <w:spacing w:before="0" w:beforeAutospacing="0" w:after="0" w:afterAutospacing="0"/>
        <w:widowControl w:val="off"/>
        <w:tabs>
          <w:tab w:val="left" w:pos="426" w:leader="none"/>
        </w:tabs>
        <w:rPr>
          <w:i w:val="0"/>
          <w:iCs w:val="0"/>
          <w:sz w:val="24"/>
          <w:szCs w:val="24"/>
          <w:highlight w:val="none"/>
          <w:shd w:val="clear" w:color="auto" w:fill="ffff99"/>
        </w:rPr>
      </w:pPr>
      <w:r>
        <w:rPr>
          <w:i w:val="0"/>
          <w:iCs w:val="0"/>
          <w:sz w:val="24"/>
          <w:szCs w:val="24"/>
          <w:highlight w:val="white"/>
          <w:shd w:val="clear" w:color="auto" w:fill="ffff99"/>
        </w:rPr>
      </w: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Приложение №1.3 к Техническим требованиям</w:t>
      </w: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 </w:t>
      </w: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Параметры  МК и фундамента</w:t>
      </w:r>
      <w:r>
        <w:rPr>
          <w:i w:val="0"/>
          <w:iCs w:val="0"/>
          <w:sz w:val="24"/>
          <w:szCs w:val="24"/>
          <w:highlight w:val="none"/>
          <w:shd w:val="clear" w:color="auto" w:fill="ffff99"/>
        </w:rPr>
      </w:r>
      <w:r>
        <w:rPr>
          <w:i w:val="0"/>
          <w:iCs w:val="0"/>
          <w:sz w:val="24"/>
          <w:szCs w:val="24"/>
          <w:highlight w:val="none"/>
          <w:shd w:val="clear" w:color="auto" w:fill="ffff99"/>
        </w:rPr>
      </w:r>
    </w:p>
    <w:p>
      <w:pPr>
        <w:ind w:left="0" w:right="0" w:firstLine="283"/>
        <w:jc w:val="left"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№1.4 к Техническим требованиям </w:t>
      </w:r>
      <w:r>
        <w:rPr>
          <w:sz w:val="24"/>
          <w:szCs w:val="24"/>
          <w:highlight w:val="none"/>
        </w:rPr>
        <w:t xml:space="preserve">Параметры обмоток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keepLines/>
        <w:keepNext/>
        <w:spacing w:after="120"/>
        <w:rPr>
          <w:rFonts w:eastAsia="Calibri"/>
          <w:b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/>
      <w:bookmarkStart w:id="71" w:name="_Ref40301253"/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right"/>
        <w:spacing w:after="120"/>
        <w:rPr>
          <w:rStyle w:val="1750"/>
          <w:bCs/>
          <w:caps/>
          <w:sz w:val="24"/>
          <w:szCs w:val="24"/>
        </w:rPr>
      </w:pPr>
      <w:r/>
      <w:bookmarkStart w:id="72" w:name="_Hlk48224758"/>
      <w:r>
        <w:rPr>
          <w:rStyle w:val="1750"/>
          <w:bCs/>
          <w:caps/>
          <w:sz w:val="24"/>
          <w:szCs w:val="24"/>
        </w:rPr>
        <w:t xml:space="preserve">[</w:t>
      </w:r>
      <w:bookmarkStart w:id="73" w:name="_Hlk48222348"/>
      <w:r>
        <w:rPr>
          <w:rStyle w:val="1750"/>
          <w:bCs/>
          <w:sz w:val="24"/>
          <w:szCs w:val="24"/>
        </w:rPr>
        <w:t xml:space="preserve">Приложение </w:t>
      </w:r>
      <w:r>
        <w:rPr>
          <w:rStyle w:val="1750"/>
          <w:bCs/>
          <w:sz w:val="24"/>
          <w:szCs w:val="24"/>
        </w:rPr>
        <w:t xml:space="preserve">№1 </w:t>
      </w:r>
      <w:r>
        <w:rPr>
          <w:rStyle w:val="1750"/>
          <w:bCs/>
          <w:sz w:val="24"/>
          <w:szCs w:val="24"/>
        </w:rPr>
        <w:t xml:space="preserve">к </w:t>
      </w:r>
      <w:r>
        <w:rPr>
          <w:rStyle w:val="1750"/>
          <w:bCs/>
          <w:sz w:val="24"/>
          <w:szCs w:val="24"/>
        </w:rPr>
        <w:t xml:space="preserve">ТТ</w:t>
      </w:r>
      <w:r>
        <w:rPr>
          <w:rStyle w:val="1750"/>
          <w:bCs/>
          <w:sz w:val="24"/>
          <w:szCs w:val="24"/>
        </w:rPr>
        <w:t xml:space="preserve">]</w:t>
      </w:r>
      <w:r>
        <w:rPr>
          <w:rStyle w:val="1750"/>
          <w:bCs/>
          <w:caps/>
          <w:sz w:val="24"/>
          <w:szCs w:val="24"/>
        </w:rPr>
        <w:t xml:space="preserve"> </w:t>
      </w:r>
      <w:bookmarkEnd w:id="73"/>
      <w:r>
        <w:rPr>
          <w:rStyle w:val="1750"/>
          <w:bCs/>
          <w:caps/>
          <w:sz w:val="24"/>
          <w:szCs w:val="24"/>
        </w:rPr>
      </w:r>
      <w:r>
        <w:rPr>
          <w:rStyle w:val="1750"/>
          <w:bCs/>
          <w:caps/>
          <w:sz w:val="24"/>
          <w:szCs w:val="24"/>
        </w:rPr>
      </w:r>
    </w:p>
    <w:p>
      <w:pPr>
        <w:jc w:val="center"/>
        <w:spacing w:before="240" w:after="120"/>
        <w:rPr>
          <w:b/>
          <w:bCs/>
          <w:i/>
          <w:caps/>
          <w:sz w:val="24"/>
          <w:szCs w:val="24"/>
          <w:shd w:val="clear" w:color="auto" w:fill="ffff99"/>
        </w:rPr>
      </w:pPr>
      <w:r>
        <w:rPr>
          <w:b/>
          <w:bCs/>
          <w:caps/>
          <w:sz w:val="24"/>
          <w:szCs w:val="24"/>
        </w:rPr>
        <w:t xml:space="preserve">Требования </w:t>
      </w:r>
      <w:r>
        <w:rPr>
          <w:b/>
          <w:bCs/>
          <w:caps/>
          <w:sz w:val="24"/>
          <w:szCs w:val="24"/>
        </w:rPr>
        <w:br/>
      </w:r>
      <w:r>
        <w:rPr>
          <w:b/>
          <w:bCs/>
          <w:caps/>
          <w:sz w:val="24"/>
          <w:szCs w:val="24"/>
        </w:rPr>
        <w:t xml:space="preserve">к </w:t>
      </w:r>
      <w:r>
        <w:rPr>
          <w:b/>
          <w:bCs/>
          <w:caps/>
          <w:sz w:val="24"/>
          <w:szCs w:val="24"/>
        </w:rPr>
        <w:t xml:space="preserve">оформлению и составлению </w:t>
      </w:r>
      <w:r>
        <w:rPr>
          <w:b/>
          <w:bCs/>
          <w:caps/>
          <w:sz w:val="24"/>
          <w:szCs w:val="24"/>
        </w:rPr>
        <w:t xml:space="preserve">документации по ценообразованию</w:t>
      </w:r>
      <w:r>
        <w:rPr>
          <w:b/>
          <w:bCs/>
          <w:i/>
          <w:caps/>
          <w:sz w:val="24"/>
          <w:szCs w:val="24"/>
          <w:shd w:val="clear" w:color="auto" w:fill="ffff99"/>
        </w:rPr>
      </w:r>
      <w:r>
        <w:rPr>
          <w:b/>
          <w:bCs/>
          <w:i/>
          <w:caps/>
          <w:sz w:val="24"/>
          <w:szCs w:val="24"/>
          <w:shd w:val="clear" w:color="auto" w:fill="ffff99"/>
        </w:rPr>
      </w:r>
    </w:p>
    <w:p>
      <w:pPr>
        <w:keepLines/>
        <w:keepNext/>
        <w:spacing w:after="120"/>
        <w:rPr>
          <w:sz w:val="24"/>
          <w:szCs w:val="24"/>
        </w:rPr>
      </w:pPr>
      <w:r>
        <w:rPr>
          <w:sz w:val="24"/>
          <w:szCs w:val="24"/>
        </w:rPr>
      </w:r>
      <w:bookmarkEnd w:id="71"/>
      <w:r/>
      <w:bookmarkEnd w:id="7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before="120" w:after="120"/>
        <w:widowControl w:val="off"/>
        <w:tabs>
          <w:tab w:val="left" w:pos="426" w:leader="none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Приложение 1.1</w:t>
      </w:r>
      <w:r>
        <w:rPr>
          <w:b/>
          <w:i/>
          <w:sz w:val="24"/>
          <w:szCs w:val="24"/>
        </w:rPr>
        <w:t xml:space="preserve">.</w:t>
      </w:r>
      <w:r>
        <w:rPr>
          <w:b/>
          <w:i/>
          <w:sz w:val="24"/>
          <w:szCs w:val="24"/>
        </w:rPr>
        <w:t xml:space="preserve"> к ТТ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Спецификация поставляемого оборудования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tbl>
      <w:tblPr>
        <w:tblW w:w="150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1510"/>
        <w:gridCol w:w="992"/>
        <w:gridCol w:w="1417"/>
        <w:gridCol w:w="1276"/>
        <w:gridCol w:w="1701"/>
        <w:gridCol w:w="1134"/>
        <w:gridCol w:w="1276"/>
        <w:gridCol w:w="1276"/>
        <w:gridCol w:w="1275"/>
        <w:gridCol w:w="1134"/>
        <w:gridCol w:w="1552"/>
      </w:tblGrid>
      <w:tr>
        <w:tblPrEx/>
        <w:trPr>
          <w:trHeight w:val="100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№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п/п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Наименование оборудования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Тип, марка, артикул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Изготовитель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Страна происхождения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Технические характеристики (описание)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Единица измерения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Количество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Стоимость ед. (руб. </w:t>
            </w:r>
            <w:r>
              <w:rPr>
                <w:color w:val="000000"/>
                <w:sz w:val="20"/>
              </w:rPr>
              <w:t xml:space="preserve">без </w:t>
            </w:r>
            <w:r>
              <w:rPr>
                <w:color w:val="000000"/>
                <w:sz w:val="20"/>
              </w:rPr>
              <w:t xml:space="preserve">НДС) </w:t>
            </w:r>
            <w:r>
              <w:rPr>
                <w:b/>
                <w:color w:val="000000"/>
                <w:sz w:val="20"/>
              </w:rPr>
              <w:t xml:space="preserve">*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Общая стоимость (руб. </w:t>
            </w:r>
            <w:r>
              <w:rPr>
                <w:color w:val="000000"/>
                <w:sz w:val="20"/>
              </w:rPr>
              <w:t xml:space="preserve">без</w:t>
            </w:r>
            <w:r>
              <w:rPr>
                <w:color w:val="000000"/>
                <w:sz w:val="20"/>
              </w:rPr>
              <w:t xml:space="preserve"> НДС)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Срок поставки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Перечень документов, подтверждающих качество Оборудования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2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3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4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5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left="430" w:hanging="43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6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7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8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9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10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</w:t>
            </w:r>
            <w:r>
              <w:rPr>
                <w:b/>
                <w:color w:val="000000"/>
                <w:sz w:val="20"/>
              </w:rPr>
              <w:t xml:space="preserve">1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2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</w:t>
            </w:r>
            <w:r>
              <w:rPr>
                <w:b/>
                <w:color w:val="000000"/>
                <w:sz w:val="20"/>
              </w:rPr>
              <w:t xml:space="preserve">2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10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/>
          </w:tcPr>
          <w:p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2" w:type="dxa"/>
            <w:textDirection w:val="lrTb"/>
            <w:noWrap w:val="false"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10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/>
          </w:tcPr>
          <w:p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2" w:type="dxa"/>
            <w:textDirection w:val="lrTb"/>
            <w:noWrap w:val="false"/>
          </w:tcPr>
          <w:p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</w:tbl>
    <w:p>
      <w:pPr>
        <w:jc w:val="both"/>
      </w:pPr>
      <w:r/>
      <w:r/>
    </w:p>
    <w:p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Примечание</w:t>
      </w:r>
      <w:r>
        <w:rPr>
          <w:sz w:val="24"/>
          <w:szCs w:val="24"/>
        </w:rPr>
        <w:t xml:space="preserve">: в случае закупки оборудования (материалов) комплектом, в спецификации необходимо разбить его на позиции (ценообразующие и являющиеся оборудованием) с указанием полного наименования (тип, марка, артикул) каждой составляющей и стоимости за единицу.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304" w:right="539" w:bottom="924" w:left="1134" w:header="709" w:footer="709" w:gutter="0"/>
          <w:cols w:num="1" w:sep="0" w:space="708" w:equalWidth="1"/>
          <w:docGrid w:linePitch="360"/>
        </w:sectPr>
      </w:pPr>
      <w:r>
        <w:rPr>
          <w:b/>
          <w:sz w:val="24"/>
          <w:szCs w:val="24"/>
        </w:rPr>
        <w:t xml:space="preserve">*</w:t>
      </w:r>
      <w:r>
        <w:rPr>
          <w:sz w:val="24"/>
          <w:szCs w:val="24"/>
        </w:rPr>
        <w:t xml:space="preserve">В случае включения в спецификацию стоимости за единицу оборудования, МТР с учетом доставки, указать данное условие.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before="120" w:after="120"/>
        <w:widowControl w:val="off"/>
        <w:tabs>
          <w:tab w:val="left" w:pos="426" w:leader="none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Приложение 1.2.</w:t>
      </w:r>
      <w:r>
        <w:rPr>
          <w:b/>
          <w:i/>
          <w:sz w:val="24"/>
          <w:szCs w:val="24"/>
        </w:rPr>
        <w:t xml:space="preserve"> к ТТ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1750"/>
          <w:b w:val="0"/>
          <w:iCs/>
          <w:sz w:val="24"/>
          <w:szCs w:val="24"/>
        </w:rPr>
      </w:pPr>
      <w:r>
        <w:rPr>
          <w:rStyle w:val="1750"/>
          <w:b w:val="0"/>
          <w:iCs/>
          <w:sz w:val="24"/>
          <w:szCs w:val="24"/>
        </w:rPr>
        <w:t xml:space="preserve">Приложение 1.2. к ТТ включается в состав Технических </w:t>
      </w:r>
      <w:r>
        <w:rPr>
          <w:rStyle w:val="1750"/>
          <w:b w:val="0"/>
          <w:iCs/>
          <w:sz w:val="24"/>
          <w:szCs w:val="24"/>
        </w:rPr>
        <w:t xml:space="preserve">требований в случае, если</w:t>
      </w:r>
      <w:r>
        <w:rPr>
          <w:rStyle w:val="1750"/>
          <w:b w:val="0"/>
          <w:iCs/>
          <w:sz w:val="24"/>
          <w:szCs w:val="24"/>
        </w:rPr>
        <w:t xml:space="preserve"> </w:t>
      </w:r>
      <w:r>
        <w:rPr>
          <w:rStyle w:val="1750"/>
          <w:b w:val="0"/>
          <w:iCs/>
          <w:sz w:val="24"/>
          <w:szCs w:val="24"/>
        </w:rPr>
        <w:t xml:space="preserve">при поставке </w:t>
      </w:r>
      <w:r>
        <w:rPr>
          <w:rStyle w:val="1750"/>
          <w:b w:val="0"/>
          <w:iCs/>
          <w:sz w:val="24"/>
          <w:szCs w:val="24"/>
        </w:rPr>
        <w:t xml:space="preserve">Высоковольтных выключателей</w:t>
      </w:r>
      <w:r>
        <w:rPr>
          <w:rStyle w:val="1750"/>
          <w:b w:val="0"/>
          <w:iCs/>
          <w:sz w:val="24"/>
          <w:szCs w:val="24"/>
        </w:rPr>
        <w:t xml:space="preserve"> предусмотрено </w:t>
      </w:r>
      <w:r>
        <w:rPr>
          <w:rStyle w:val="1750"/>
          <w:b w:val="0"/>
          <w:iCs/>
          <w:sz w:val="24"/>
          <w:szCs w:val="24"/>
        </w:rPr>
        <w:t xml:space="preserve">оказание сопутствующих услуг</w:t>
      </w:r>
      <w:r>
        <w:rPr>
          <w:rStyle w:val="1750"/>
          <w:b w:val="0"/>
          <w:iCs/>
          <w:sz w:val="24"/>
          <w:szCs w:val="24"/>
        </w:rPr>
        <w:t xml:space="preserve"> </w:t>
      </w:r>
      <w:r>
        <w:rPr>
          <w:rStyle w:val="1750"/>
          <w:b w:val="0"/>
          <w:iCs/>
          <w:sz w:val="24"/>
          <w:szCs w:val="24"/>
        </w:rPr>
        <w:t xml:space="preserve">по </w:t>
      </w:r>
      <w:r>
        <w:rPr>
          <w:rStyle w:val="1750"/>
          <w:b w:val="0"/>
          <w:iCs/>
          <w:sz w:val="24"/>
          <w:szCs w:val="24"/>
        </w:rPr>
        <w:t xml:space="preserve">шеф</w:t>
      </w:r>
      <w:r>
        <w:rPr>
          <w:rStyle w:val="1750"/>
          <w:b w:val="0"/>
          <w:iCs/>
          <w:sz w:val="24"/>
          <w:szCs w:val="24"/>
        </w:rPr>
        <w:t xml:space="preserve">-</w:t>
      </w:r>
      <w:r>
        <w:rPr>
          <w:rStyle w:val="1750"/>
          <w:b w:val="0"/>
          <w:iCs/>
          <w:sz w:val="24"/>
          <w:szCs w:val="24"/>
        </w:rPr>
        <w:t xml:space="preserve">монтаж</w:t>
      </w:r>
      <w:r>
        <w:rPr>
          <w:rStyle w:val="1750"/>
          <w:b w:val="0"/>
          <w:iCs/>
          <w:sz w:val="24"/>
          <w:szCs w:val="24"/>
        </w:rPr>
        <w:t xml:space="preserve">у</w:t>
      </w:r>
      <w:r>
        <w:rPr>
          <w:rStyle w:val="1750"/>
          <w:b w:val="0"/>
          <w:iCs/>
          <w:sz w:val="24"/>
          <w:szCs w:val="24"/>
        </w:rPr>
        <w:t xml:space="preserve">.</w:t>
      </w:r>
      <w:r>
        <w:rPr>
          <w:rStyle w:val="1750"/>
          <w:b w:val="0"/>
          <w:iCs/>
          <w:sz w:val="24"/>
          <w:szCs w:val="24"/>
        </w:rPr>
      </w:r>
      <w:r>
        <w:rPr>
          <w:rStyle w:val="1750"/>
          <w:b w:val="0"/>
          <w:iCs/>
          <w:sz w:val="24"/>
          <w:szCs w:val="24"/>
        </w:rPr>
      </w:r>
    </w:p>
    <w:p>
      <w:pPr>
        <w:pStyle w:val="1737"/>
        <w:ind w:left="1260" w:hanging="1080"/>
        <w:jc w:val="center"/>
        <w:widowControl/>
        <w:tabs>
          <w:tab w:val="left" w:pos="126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737"/>
        <w:ind w:left="1258" w:hanging="1077"/>
        <w:jc w:val="center"/>
        <w:spacing w:after="240"/>
        <w:widowControl/>
        <w:tabs>
          <w:tab w:val="left" w:pos="126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оформлению и составлению </w:t>
      </w:r>
      <w:r>
        <w:rPr>
          <w:rFonts w:ascii="Times New Roman" w:hAnsi="Times New Roman" w:cs="Times New Roman"/>
          <w:b/>
          <w:sz w:val="24"/>
          <w:szCs w:val="24"/>
        </w:rPr>
        <w:t xml:space="preserve">сметной документации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на выполнение шеф</w:t>
      </w:r>
      <w:r>
        <w:rPr>
          <w:rFonts w:ascii="Times New Roman" w:hAnsi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b/>
          <w:sz w:val="24"/>
          <w:szCs w:val="24"/>
        </w:rPr>
        <w:t xml:space="preserve">монтажных работ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142" w:hanging="142"/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Образец № 3п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16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348" w:type="dxa"/>
            <w:textDirection w:val="lrTb"/>
            <w:noWrap w:val="false"/>
          </w:tcPr>
          <w:p>
            <w:pPr>
              <w:ind w:left="6523" w:hanging="284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Приложение №_____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6239" w:right="-284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 договору от ______№_______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6239" w:right="-284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(дополнительному соглашению)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351"/>
              <w:gridCol w:w="5213"/>
            </w:tblGrid>
            <w:tr>
              <w:tblPrEx/>
              <w:trPr>
                <w:trHeight w:val="446"/>
              </w:trPr>
              <w:tc>
                <w:tcPr>
                  <w:tcW w:w="4430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СОГЛАСОВАНО: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________________(Подрядчик)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 Ф.И.О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134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ind w:left="1886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УТВЕРЖДАЮ: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ind w:left="1886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_________________(Заказчик)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  <w:p>
                  <w:pPr>
                    <w:ind w:left="188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_________________Ф.И.О.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Смета № </w:t>
            </w:r>
            <w:r>
              <w:rPr>
                <w:b/>
                <w:bCs/>
                <w:sz w:val="24"/>
                <w:szCs w:val="24"/>
              </w:rPr>
              <w:br/>
              <w:t xml:space="preserve">на шеф - монтажные работы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предприятия, здания, сооружения, вида шеф-монтажных работ_____________________________________________________________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монтажной организации 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организации заказчика 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Составлена в текущих ценах, соответствующих периоду выполнения работ по договору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Расчет заработной платы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9649" w:type="dxa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2192"/>
              <w:gridCol w:w="1213"/>
              <w:gridCol w:w="1167"/>
              <w:gridCol w:w="1400"/>
              <w:gridCol w:w="1398"/>
              <w:gridCol w:w="1722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п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/</w:t>
                  </w:r>
                  <w:r>
                    <w:rPr>
                      <w:sz w:val="24"/>
                      <w:szCs w:val="24"/>
                    </w:rPr>
                    <w:t xml:space="preserve">п.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Перечень выполняемых работ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Исполнители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Количество человеко-дней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Средняя оплата труда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за 1 день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Оплата труда (всего)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298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4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количество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должность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73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73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901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заработной платы, в руб. 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Расчет стоимости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Накладные расходы, %______________________________________________________________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Себестоимость работ 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Уровень рентабельности, % 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</w:t>
            </w:r>
            <w:r>
              <w:rPr>
                <w:sz w:val="24"/>
                <w:szCs w:val="24"/>
              </w:rPr>
              <w:t xml:space="preserve">__________________________________________________________________________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Командировочные расходы (по расчету</w:t>
            </w:r>
            <w:r>
              <w:rPr>
                <w:sz w:val="24"/>
                <w:szCs w:val="24"/>
              </w:rPr>
              <w:t xml:space="preserve">) _</w:t>
            </w:r>
            <w:r>
              <w:rPr>
                <w:sz w:val="24"/>
                <w:szCs w:val="24"/>
              </w:rPr>
              <w:t xml:space="preserve">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(руб.)</w:t>
            </w:r>
            <w:r>
              <w:rPr>
                <w:sz w:val="24"/>
                <w:szCs w:val="24"/>
              </w:rPr>
              <w:t xml:space="preserve"> ___________________________________________________</w:t>
            </w:r>
            <w:r>
              <w:rPr>
                <w:sz w:val="24"/>
                <w:szCs w:val="24"/>
              </w:rPr>
              <w:t xml:space="preserve">(сумма прописью)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Составил:________/должность,организация/_______/подпись/___________/расшифровка подписи/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Проверил:_________/должность, организация/_________/подпись/_________/расшифровка подписи/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заполнению формы №3п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при составлении смет на шеф-монтажные, шеф-наладочные работы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40"/>
        <w:jc w:val="both"/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tabs>
          <w:tab w:val="left" w:pos="993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Форма сметы для определения затрат по себестоимости и уровню рентабельности (форма №3п) приведена в образце 3П Приложения 2.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Результаты вычислений и итоговые данные по разделам расчета </w:t>
      </w:r>
      <w:r>
        <w:rPr>
          <w:sz w:val="24"/>
          <w:szCs w:val="24"/>
          <w:u w:val="single"/>
        </w:rPr>
        <w:t xml:space="preserve">округлять до целых рублей.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Особенности заполнения формы 3п.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Раздел 1. Расчет заработной платы: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графе 1 приводится нумерация выполняемых работ;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графе 2 приводится наименование выполняемых работ;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графе 3 указывается количество привлекаемых работников;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графе 5 для каждой должностной группы (при необходимости с указанием конкретных</w:t>
      </w:r>
      <w:r>
        <w:rPr>
          <w:rFonts w:eastAsia="Calibri"/>
          <w:sz w:val="24"/>
          <w:szCs w:val="24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eastAsia="Calibri"/>
          <w:sz w:val="24"/>
          <w:szCs w:val="24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графе 7 указывается заработная плата в рублях (</w:t>
      </w:r>
      <w:r>
        <w:rPr>
          <w:rFonts w:eastAsia="Calibri"/>
          <w:b/>
          <w:sz w:val="24"/>
          <w:szCs w:val="24"/>
          <w:u w:val="single"/>
        </w:rPr>
        <w:t xml:space="preserve">результат перемножения граф 5 и 6</w:t>
      </w:r>
      <w:r>
        <w:rPr>
          <w:rFonts w:eastAsia="Calibri"/>
          <w:sz w:val="24"/>
          <w:szCs w:val="24"/>
        </w:rPr>
        <w:t xml:space="preserve">);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Данные по к</w:t>
      </w:r>
      <w:r>
        <w:rPr>
          <w:rFonts w:eastAsia="Calibri"/>
          <w:sz w:val="24"/>
          <w:szCs w:val="24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Раздел 2. Расчет стоимости выполнения работ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пункте 2.1 указываются на</w:t>
      </w:r>
      <w:r>
        <w:rPr>
          <w:rFonts w:eastAsia="Calibri"/>
          <w:sz w:val="24"/>
          <w:szCs w:val="24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уровень рентабельности по отношению к себестоимости может составлять до 15%.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Раздел 3. Расчет командировочных расходов.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Размеры возмещения расходов, связанных со служебными ко</w:t>
      </w:r>
      <w:r>
        <w:rPr>
          <w:sz w:val="24"/>
          <w:szCs w:val="24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37"/>
        <w:ind w:firstLine="567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Лимиты командировочных расходов</w:t>
      </w:r>
      <w:r>
        <w:rPr>
          <w:rFonts w:ascii="Times New Roman" w:hAnsi="Times New Roman" w:cs="Times New Roman"/>
          <w:sz w:val="24"/>
          <w:szCs w:val="24"/>
        </w:rPr>
        <w:t xml:space="preserve"> при командировании на территории, не относящиеся к районам Крайнего Севера и приравненных к ним местностям, принимать в размере не более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37"/>
        <w:numPr>
          <w:ilvl w:val="0"/>
          <w:numId w:val="21"/>
        </w:numPr>
        <w:jc w:val="both"/>
        <w:spacing w:before="40" w:after="40"/>
        <w:tabs>
          <w:tab w:val="left" w:pos="567" w:leader="none"/>
          <w:tab w:val="left" w:pos="993" w:leader="none"/>
          <w:tab w:val="left" w:pos="1134" w:leader="none"/>
        </w:tabs>
        <w:rPr>
          <w:rFonts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суточные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Calibri"/>
          <w:sz w:val="24"/>
          <w:szCs w:val="24"/>
        </w:rPr>
        <w:t xml:space="preserve"> 700 руб./сутки;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737"/>
        <w:numPr>
          <w:ilvl w:val="0"/>
          <w:numId w:val="21"/>
        </w:numPr>
        <w:jc w:val="both"/>
        <w:spacing w:before="40" w:after="40"/>
        <w:tabs>
          <w:tab w:val="left" w:pos="567" w:leader="none"/>
          <w:tab w:val="left" w:pos="993" w:leader="none"/>
          <w:tab w:val="left" w:pos="1134" w:leader="none"/>
        </w:tabs>
        <w:rPr>
          <w:rFonts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проживание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Calibri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 xml:space="preserve">5000</w:t>
      </w:r>
      <w:r>
        <w:rPr>
          <w:rFonts w:ascii="Times New Roman" w:hAnsi="Times New Roman" w:eastAsia="Calibri"/>
          <w:sz w:val="24"/>
          <w:szCs w:val="24"/>
        </w:rPr>
        <w:t xml:space="preserve"> руб./сутки;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737"/>
        <w:numPr>
          <w:ilvl w:val="0"/>
          <w:numId w:val="21"/>
        </w:numPr>
        <w:jc w:val="both"/>
        <w:spacing w:before="40" w:after="40"/>
        <w:tabs>
          <w:tab w:val="left" w:pos="567" w:leader="none"/>
          <w:tab w:val="left" w:pos="993" w:leader="none"/>
          <w:tab w:val="left" w:pos="1134" w:leader="none"/>
        </w:tabs>
        <w:rPr>
          <w:rFonts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проезд: поезд (купе) или самолет (</w:t>
      </w:r>
      <w:r>
        <w:rPr>
          <w:rFonts w:ascii="Times New Roman" w:hAnsi="Times New Roman"/>
          <w:sz w:val="24"/>
          <w:szCs w:val="24"/>
        </w:rPr>
        <w:t xml:space="preserve">класс–эконом с багажом до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/>
          <w:sz w:val="24"/>
          <w:szCs w:val="24"/>
        </w:rPr>
        <w:t xml:space="preserve">20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/>
          <w:sz w:val="24"/>
          <w:szCs w:val="24"/>
        </w:rPr>
        <w:t xml:space="preserve">(двадцати) кг, ручная кладь до 10 (десяти) кг</w:t>
      </w:r>
      <w:r>
        <w:rPr>
          <w:rFonts w:ascii="Times New Roman" w:hAnsi="Times New Roman" w:eastAsia="Calibri"/>
          <w:sz w:val="24"/>
          <w:szCs w:val="24"/>
        </w:rPr>
        <w:t xml:space="preserve">).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737"/>
        <w:ind w:firstLine="567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не более: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37"/>
        <w:numPr>
          <w:ilvl w:val="0"/>
          <w:numId w:val="21"/>
        </w:numPr>
        <w:jc w:val="both"/>
        <w:spacing w:before="40" w:after="40"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суточные – 945 руб./сутки;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37"/>
        <w:numPr>
          <w:ilvl w:val="0"/>
          <w:numId w:val="21"/>
        </w:numPr>
        <w:jc w:val="both"/>
        <w:spacing w:before="40" w:after="40"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проживание – до 7000 руб./сутки;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1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проезд: поезд (купе) или самолет (класс–эконом с багажом </w:t>
      </w:r>
      <w:r>
        <w:rPr>
          <w:sz w:val="24"/>
          <w:szCs w:val="24"/>
        </w:rPr>
        <w:br/>
        <w:t xml:space="preserve">до 20 </w:t>
      </w:r>
      <w:r>
        <w:rPr>
          <w:sz w:val="24"/>
          <w:szCs w:val="24"/>
        </w:rPr>
        <w:t xml:space="preserve">(двадцати) кг, ручная кладь до 10 (десяти) кг).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 xml:space="preserve">Данные лимиты могут быть пересмотрены на этапе согласования технических требований.</w:t>
      </w:r>
      <w:r>
        <w:rPr>
          <w:b/>
          <w:i/>
          <w:color w:val="000000" w:themeColor="text1"/>
          <w:sz w:val="24"/>
          <w:szCs w:val="24"/>
        </w:rPr>
      </w:r>
      <w:r>
        <w:rPr>
          <w:b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sz w:val="24"/>
          <w:szCs w:val="24"/>
        </w:rPr>
        <w:t xml:space="preserve">Методом анализа ТКП в соответствии с Методикой ПЦ</w:t>
      </w:r>
      <w:r>
        <w:rPr>
          <w:rFonts w:eastAsia="Calibri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sz w:val="24"/>
          <w:szCs w:val="24"/>
          <w:lang w:eastAsia="en-US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0" w:right="850" w:bottom="720" w:left="1134" w:header="709" w:footer="709" w:gutter="0"/>
          <w:cols w:num="1" w:sep="0" w:space="708" w:equalWidth="1"/>
          <w:docGrid w:linePitch="360"/>
        </w:sect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left="58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пояснительной записке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 заполнению формы 3П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СПРАВКА от__________ (указать дату составления справки) (Образец)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п/п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Должность специалиста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Заработная плата в день, в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Накладные расходы _______(%)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Рентабельность предприятия_________(%)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(Должность единоличного исполнительного органа контрагента/подрядчика)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(краткое/полное наименование организации) ________________ (ФИО)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(Главный бухгалтер)</w:t>
      </w:r>
      <w:r>
        <w:rPr>
          <w:sz w:val="24"/>
          <w:szCs w:val="24"/>
          <w:vertAlign w:val="superscript"/>
        </w:rPr>
        <w:footnoteReference w:id="4"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(краткое/полное наименование организации контрагента/подрядчика) _________ (ФИО)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37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811"/>
        <w:jc w:val="right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пояснительной записке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 заполнению формы 3П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Образец расчета командировочных расходов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hanging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__ к смете № 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hanging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Расчет командировочных расходов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4"/>
        <w:gridCol w:w="988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</w:t>
            </w:r>
            <w:r>
              <w:rPr>
                <w:sz w:val="22"/>
                <w:szCs w:val="22"/>
                <w:lang w:val="en-US"/>
              </w:rPr>
              <w:t xml:space="preserve">/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Пункт назначения </w:t>
            </w:r>
            <w:r>
              <w:rPr>
                <w:sz w:val="22"/>
                <w:szCs w:val="22"/>
              </w:rPr>
              <w:br/>
              <w:t xml:space="preserve">(туда / обратно)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транспорта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проезда, руб. (без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дней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суточных, руб./сут. </w:t>
            </w:r>
            <w:r>
              <w:rPr>
                <w:sz w:val="22"/>
                <w:szCs w:val="22"/>
              </w:rPr>
              <w:br/>
              <w:t xml:space="preserve">(без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проживания, руб./сут.. </w:t>
            </w:r>
            <w:r>
              <w:rPr>
                <w:sz w:val="22"/>
                <w:szCs w:val="22"/>
              </w:rPr>
              <w:br/>
              <w:t xml:space="preserve">(без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командировок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командированных человек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стоимость командировочных расходов, руб. </w:t>
            </w:r>
            <w:r>
              <w:rPr>
                <w:sz w:val="22"/>
                <w:szCs w:val="22"/>
              </w:rPr>
              <w:br/>
              <w:t xml:space="preserve">(без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9"/>
            <w:shd w:val="clear" w:color="auto" w:fill="auto"/>
            <w:tcW w:w="100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1 в пункт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1 в пункт 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2 в пункт 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4 в пункт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W w:w="85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стоимость командировочных расходов из пункта 1 в пункт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9"/>
            <w:shd w:val="clear" w:color="auto" w:fill="auto"/>
            <w:tcW w:w="100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5 в пункт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5 в пункт 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4 в пункт 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2 в пункт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W w:w="85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стоимость командировочных расходов из пункта 5 в пункт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W w:w="85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стоимость командировочных расходов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637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37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right"/>
        <w:spacing w:before="120" w:after="120"/>
        <w:widowControl w:val="off"/>
        <w:tabs>
          <w:tab w:val="left" w:pos="426" w:leader="none"/>
        </w:tabs>
        <w:rPr>
          <w:i w:val="0"/>
          <w:iCs w:val="0"/>
          <w:sz w:val="24"/>
          <w:szCs w:val="24"/>
          <w:highlight w:val="none"/>
          <w:shd w:val="clear" w:color="auto" w:fill="ffff99"/>
        </w:rPr>
      </w:pPr>
      <w:r>
        <w:rPr>
          <w:i w:val="0"/>
          <w:iCs w:val="0"/>
          <w:sz w:val="24"/>
          <w:szCs w:val="24"/>
          <w:highlight w:val="white"/>
          <w:shd w:val="clear" w:color="auto" w:fill="ffff99"/>
        </w:rPr>
      </w: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Приложение №1.3 к Техническим требованиям</w:t>
      </w:r>
      <w:r>
        <w:rPr>
          <w:i w:val="0"/>
          <w:iCs w:val="0"/>
          <w:sz w:val="24"/>
          <w:szCs w:val="24"/>
          <w:highlight w:val="none"/>
          <w:shd w:val="clear" w:color="auto" w:fill="ffff99"/>
        </w:rPr>
      </w:r>
      <w:r>
        <w:rPr>
          <w:i w:val="0"/>
          <w:iCs w:val="0"/>
          <w:sz w:val="24"/>
          <w:szCs w:val="24"/>
          <w:highlight w:val="none"/>
          <w:shd w:val="clear" w:color="auto" w:fill="ffff99"/>
        </w:rPr>
      </w:r>
    </w:p>
    <w:p>
      <w:pPr>
        <w:jc w:val="right"/>
        <w:spacing w:before="120" w:after="120"/>
        <w:widowControl w:val="off"/>
        <w:tabs>
          <w:tab w:val="left" w:pos="426" w:leader="none"/>
        </w:tabs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Параметры  МК и фундамента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jc w:val="right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left"/>
        <w:spacing w:before="120" w:after="120"/>
        <w:widowControl w:val="off"/>
        <w:tabs>
          <w:tab w:val="left" w:pos="426" w:leader="none"/>
        </w:tabs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Высота комплекта опорных металлоконструкций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jc w:val="left"/>
        <w:spacing w:before="120" w:after="120"/>
        <w:widowControl w:val="off"/>
        <w:tabs>
          <w:tab w:val="left" w:pos="426" w:leader="none"/>
        </w:tabs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H – высота опорной МК (2200мм)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jc w:val="left"/>
        <w:spacing w:before="120" w:after="120"/>
        <w:widowControl w:val="off"/>
        <w:tabs>
          <w:tab w:val="left" w:pos="426" w:leader="none"/>
        </w:tabs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h1 - расстояние от земли до первой «юбки» изолятора (3770мм)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jc w:val="left"/>
        <w:spacing w:before="120" w:after="120"/>
        <w:widowControl w:val="off"/>
        <w:tabs>
          <w:tab w:val="left" w:pos="426" w:leader="none"/>
        </w:tabs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  <w:shd w:val="clear" w:color="auto" w:fill="ffff99"/>
        </w:rPr>
        <w:t xml:space="preserve">h2 - наибольшая высота выключателя на опорных МК (4790мм)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jc w:val="left"/>
        <w:spacing w:before="120" w:after="120"/>
        <w:widowControl w:val="off"/>
        <w:tabs>
          <w:tab w:val="left" w:pos="426" w:leader="none"/>
        </w:tabs>
        <w:rPr>
          <w:highlight w:val="none"/>
        </w:rPr>
      </w:pPr>
      <w:r>
        <w:rPr>
          <w:i/>
          <w:iCs/>
          <w:sz w:val="24"/>
          <w:szCs w:val="24"/>
          <w:highlight w:val="none"/>
          <w:shd w:val="clear" w:color="auto" w:fill="ffff99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202280" cy="3605714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109927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 flipH="0" flipV="0">
                          <a:off x="0" y="0"/>
                          <a:ext cx="4202280" cy="36057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30.89pt;height:283.91pt;mso-wrap-distance-left:0.00pt;mso-wrap-distance-top:0.00pt;mso-wrap-distance-right:0.00pt;mso-wrap-distance-bottom:0.00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r/>
      <w:r/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Крепление опорных МК к фундаменту L1xL2 (3480х800мм)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459395" cy="2025567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449367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 flipH="0" flipV="0">
                          <a:off x="0" y="0"/>
                          <a:ext cx="3459394" cy="20255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2.39pt;height:159.49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№1.4 к Техническим требованиям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Параметры обмоток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Таблица 1. Параметры обмоток (для ТТ с 3-мя обмотками)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r>
        <w:rPr>
          <w:sz w:val="24"/>
          <w:szCs w:val="24"/>
          <w:highlight w:val="none"/>
        </w:rPr>
      </w:r>
      <w:r/>
    </w:p>
    <w:tbl>
      <w:tblPr>
        <w:tblW w:w="979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540"/>
        <w:gridCol w:w="880"/>
        <w:gridCol w:w="620"/>
        <w:gridCol w:w="1540"/>
        <w:gridCol w:w="880"/>
        <w:gridCol w:w="620"/>
        <w:gridCol w:w="1540"/>
        <w:gridCol w:w="880"/>
        <w:gridCol w:w="753"/>
      </w:tblGrid>
      <w:tr>
        <w:tblPrEx/>
        <w:trPr>
          <w:trHeight w:val="9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обм.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/ 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      S1-S2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Класс точности / Нагрузка, 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2ном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В·А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Бном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  <w:br/>
              <w:t xml:space="preserve">или</w:t>
              <w:br/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∙ 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пр.ном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/ 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      S1-S3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Класс точности / Нагр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узка, 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2ном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В·А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Бном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  <w:br/>
              <w:t xml:space="preserve">или</w:t>
              <w:br/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∙ 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пр.ном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/ 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      S1-S4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Класс точности / Нагрузка, 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2ном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В·А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753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Бном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  <w:br/>
              <w:t xml:space="preserve">или</w:t>
              <w:br/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∙ 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пр.ном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600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-1200/5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0,5/30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1000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-2000/5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0,5/30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-2400/5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0,5/30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753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600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-1200/5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1000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-2400/5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753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600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-1200/5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1000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-2000/5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600-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u w:val="single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-2400/5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753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0"/>
        </w:trPr>
        <w:tc>
          <w:tcPr>
            <w:gridSpan w:val="8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160" w:type="dxa"/>
            <w:vAlign w:val="center"/>
            <w:vMerge w:val="restart"/>
            <w:textDirection w:val="lrTb"/>
            <w:noWrap w:val="false"/>
          </w:tcPr>
          <w:p>
            <w:pPr>
              <w:pStyle w:val="1652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Действующее значение первичного тока короткого замыкания, Iкз,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gridSpan w:val="8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160" w:type="dxa"/>
            <w:vAlign w:val="center"/>
            <w:vMerge w:val="restart"/>
            <w:textDirection w:val="lrTb"/>
            <w:noWrap w:val="false"/>
          </w:tcPr>
          <w:p>
            <w:r>
              <w:rPr>
                <w:sz w:val="22"/>
              </w:rPr>
              <w:t xml:space="preserve">Постоянная времени затухания апериодической составляющей первичного тока, Ta, мс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before="6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rStyle w:val="1750"/>
          <w:b w:val="0"/>
          <w:bCs/>
          <w:i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 w:val="0"/>
          <w:bCs w:val="0"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 xml:space="preserve">Таблица 2. Параметры обмоток (для ТТ с 4-мя обмотками)</w:t>
      </w:r>
      <w:r>
        <w:rPr>
          <w:b w:val="0"/>
          <w:bCs w:val="0"/>
          <w:iCs/>
          <w:sz w:val="24"/>
          <w:szCs w:val="24"/>
        </w:rPr>
      </w:r>
      <w:r>
        <w:rPr>
          <w:b w:val="0"/>
          <w:bCs w:val="0"/>
          <w:iC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60" w:type="dxa"/>
        <w:tblInd w:w="0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540"/>
        <w:gridCol w:w="880"/>
        <w:gridCol w:w="620"/>
        <w:gridCol w:w="1540"/>
        <w:gridCol w:w="880"/>
        <w:gridCol w:w="620"/>
        <w:gridCol w:w="1540"/>
        <w:gridCol w:w="880"/>
        <w:gridCol w:w="620"/>
      </w:tblGrid>
      <w:tr>
        <w:tblPrEx/>
        <w:trPr>
          <w:trHeight w:val="9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№ обм.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 / 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       S1-S2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Класс точности 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 Нагрузка, S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2ном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, В·А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Бном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 </w:t>
              <w:br/>
              <w:t xml:space="preserve">или</w:t>
              <w:br/>
              <w:t xml:space="preserve">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 ∙ 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пр.ном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 / 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       S1-S3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Класс точности / Нагрузк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а, S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2ном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, В·А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Бном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 </w:t>
              <w:br/>
              <w:t xml:space="preserve">или</w:t>
              <w:br/>
              <w:t xml:space="preserve">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 ∙ 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пр.ном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 / 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       S1-S4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Класс точности / Нагрузка, S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2ном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, В·А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6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Бном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 </w:t>
              <w:br/>
              <w:t xml:space="preserve">или</w:t>
              <w:br/>
              <w:t xml:space="preserve">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 ∙ 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  <w:vertAlign w:val="subscript"/>
              </w:rPr>
              <w:t xml:space="preserve">пр.ном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№ 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300-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600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200/5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0,5S/30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1000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-2000/5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0,5S/30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600-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-2400/5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0,5S/30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№ 2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300-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600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-1200/5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1000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000/5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25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600-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-2400/5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№ 3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300-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600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-1200/5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1000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-2000/5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25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600-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-2400/5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№ 4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300-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600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-1200/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500-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1000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-2000/5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25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54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600-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highlight w:val="white"/>
                <w:u w:val="single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-2400/5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8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10PR/50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620" w:type="dxa"/>
            <w:vAlign w:val="center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30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509"/>
        </w:trPr>
        <w:tc>
          <w:tcPr>
            <w:gridSpan w:val="8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220" w:type="dxa"/>
            <w:vAlign w:val="center"/>
            <w:vMerge w:val="restart"/>
            <w:textDirection w:val="lrTb"/>
            <w:noWrap w:val="false"/>
          </w:tcPr>
          <w:p>
            <w:pPr>
              <w:pStyle w:val="1652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Действующее значение первичного тока короткого замыкания, Iкз, 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439" w:type="dxa"/>
            <w:vAlign w:val="center"/>
            <w:vMerge w:val="restart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10800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gridSpan w:val="8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822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Постоянная времени затухания апериодической составляющей первичного тока, Ta,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Mar>
              <w:left w:w="14" w:type="dxa"/>
              <w:top w:w="14" w:type="dxa"/>
              <w:right w:w="14" w:type="dxa"/>
              <w:bottom w:w="0" w:type="dxa"/>
            </w:tcMar>
            <w:tcW w:w="1436" w:type="dxa"/>
            <w:vAlign w:val="center"/>
            <w:vMerge w:val="restart"/>
            <w:textDirection w:val="lrTb"/>
            <w:noWrap w:val="false"/>
          </w:tcPr>
          <w:p>
            <w:pPr>
              <w:pStyle w:val="165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left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7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668"/>
      </w:pPr>
      <w:r>
        <w:rPr>
          <w:rStyle w:val="1669"/>
        </w:rPr>
        <w:footnoteRef/>
      </w:r>
      <w:r>
        <w:t xml:space="preserve"> </w:t>
      </w:r>
      <w:r>
        <w:rPr>
          <w:i/>
          <w:iCs/>
          <w:sz w:val="24"/>
          <w:szCs w:val="24"/>
          <w:highlight w:val="white"/>
        </w:rPr>
        <w:t xml:space="preserve">Под</w:t>
      </w:r>
      <w:r>
        <w:rPr>
          <w:i/>
          <w:iCs/>
          <w:sz w:val="24"/>
          <w:szCs w:val="24"/>
          <w:highlight w:val="white"/>
        </w:rPr>
        <w:t xml:space="preserve"> новым следует понимать оборудование, </w:t>
      </w:r>
      <w:r>
        <w:rPr>
          <w:i/>
          <w:iCs/>
          <w:sz w:val="24"/>
          <w:szCs w:val="24"/>
          <w:highlight w:val="white"/>
        </w:rPr>
        <w:t xml:space="preserve">которое не было в употреблении, не приходило ремонт, в том числе восстановление, замену составных частей, восстановление потребительских свойств.</w:t>
      </w:r>
      <w:r/>
    </w:p>
  </w:footnote>
  <w:footnote w:id="4">
    <w:p>
      <w:pPr>
        <w:pStyle w:val="1668"/>
      </w:pPr>
      <w:r>
        <w:rPr>
          <w:rStyle w:val="1669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668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7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74"/>
      <w:rPr>
        <w:rStyle w:val="1686"/>
      </w:rPr>
      <w:framePr w:wrap="around" w:vAnchor="text" w:hAnchor="margin" w:xAlign="center" w:y="1"/>
    </w:pPr>
    <w:r>
      <w:rPr>
        <w:rStyle w:val="1686"/>
      </w:rPr>
      <w:fldChar w:fldCharType="begin"/>
    </w:r>
    <w:r>
      <w:rPr>
        <w:rStyle w:val="1686"/>
      </w:rPr>
      <w:instrText xml:space="preserve">PAGE  </w:instrText>
    </w:r>
    <w:r>
      <w:rPr>
        <w:rStyle w:val="1686"/>
      </w:rPr>
      <w:fldChar w:fldCharType="separate"/>
    </w:r>
    <w:r>
      <w:rPr>
        <w:rStyle w:val="1686"/>
      </w:rPr>
      <w:t xml:space="preserve">4</w:t>
    </w:r>
    <w:r>
      <w:rPr>
        <w:rStyle w:val="1686"/>
      </w:rPr>
      <w:fldChar w:fldCharType="end"/>
    </w:r>
    <w:r>
      <w:rPr>
        <w:rStyle w:val="1686"/>
      </w:rPr>
    </w:r>
    <w:r>
      <w:rPr>
        <w:rStyle w:val="1686"/>
      </w:rPr>
    </w:r>
  </w:p>
  <w:p>
    <w:pPr>
      <w:pStyle w:val="167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7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2160" w:hanging="1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russianLower"/>
      <w:pStyle w:val="1785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753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75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75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755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756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pStyle w:val="166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66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pStyle w:val="1653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1656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655"/>
      <w:isLgl w:val="false"/>
      <w:suff w:val="tab"/>
      <w:lvlText w:val="%1.%2.%3."/>
      <w:lvlJc w:val="left"/>
      <w:pPr>
        <w:ind w:left="1224" w:hanging="504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3">
      <w:start w:val="1"/>
      <w:numFmt w:val="decimal"/>
      <w:pStyle w:val="1788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6" w:hanging="180"/>
      </w:pPr>
    </w:lvl>
  </w:abstractNum>
  <w:abstractNum w:abstractNumId="29">
    <w:multiLevelType w:val="hybridMultilevel"/>
    <w:styleLink w:val="1747"/>
    <w:lvl w:ilvl="0">
      <w:start w:val="1"/>
      <w:numFmt w:val="decimal"/>
      <w:pStyle w:val="1747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6">
    <w:multiLevelType w:val="hybridMultilevel"/>
    <w:lvl w:ilvl="0">
      <w:start w:val="1"/>
      <w:numFmt w:val="decimal"/>
      <w:pStyle w:val="1765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4"/>
      <w:numFmt w:val="bullet"/>
      <w:pStyle w:val="1734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735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733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styleLink w:val="1743"/>
    <w:lvl w:ilvl="0">
      <w:start w:val="3"/>
      <w:numFmt w:val="decimal"/>
      <w:pStyle w:val="174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-3897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3105" w:hanging="504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-2601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-2097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-1593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-10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585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9" w:hanging="1440"/>
      </w:pPr>
    </w:lvl>
  </w:abstractNum>
  <w:abstractNum w:abstractNumId="2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-3897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3105" w:hanging="504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-2601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-2097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-1593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-10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585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9" w:hanging="1440"/>
      </w:pPr>
    </w:lvl>
  </w:abstractNum>
  <w:abstractNum w:abstractNumId="27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274">
    <w:multiLevelType w:val="hybridMultilevel"/>
    <w:lvl w:ilvl="0">
      <w:start w:val="1"/>
      <w:numFmt w:val="decimal"/>
      <w:isLgl w:val="false"/>
      <w:suff w:val="tab"/>
      <w:lvlText w:val="%1.2"/>
      <w:lvlJc w:val="center"/>
      <w:pPr>
        <w:ind w:left="709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-3897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3105" w:hanging="504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-2601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-2097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-1593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-10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585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9" w:hanging="1440"/>
      </w:pPr>
    </w:lvl>
  </w:abstractNum>
  <w:abstractNum w:abstractNumId="2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2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1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5" w:hanging="180"/>
      </w:pPr>
    </w:lvl>
  </w:abstractNum>
  <w:abstractNum w:abstractNumId="283">
    <w:multiLevelType w:val="hybridMultilevel"/>
    <w:lvl w:ilvl="0">
      <w:start w:val="1"/>
      <w:numFmt w:val="decimal"/>
      <w:isLgl w:val="false"/>
      <w:suff w:val="tab"/>
      <w:lvlText w:val="%1.1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4">
    <w:multiLevelType w:val="hybridMultilevel"/>
    <w:lvl w:ilvl="0">
      <w:start w:val="1"/>
      <w:numFmt w:val="decimal"/>
      <w:pStyle w:val="1653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1656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none"/>
      <w:pStyle w:val="1655"/>
      <w:isLgl w:val="false"/>
      <w:suff w:val="tab"/>
      <w:lvlText w:val="2.2.1"/>
      <w:lvlJc w:val="left"/>
      <w:pPr>
        <w:ind w:left="1224" w:hanging="504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3">
      <w:start w:val="1"/>
      <w:numFmt w:val="decimal"/>
      <w:pStyle w:val="1788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none"/>
      <w:isLgl w:val="false"/>
      <w:suff w:val="tab"/>
      <w:lvlText w:val="2.2.1.1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41"/>
  </w:num>
  <w:num w:numId="3">
    <w:abstractNumId w:val="48"/>
  </w:num>
  <w:num w:numId="4">
    <w:abstractNumId w:val="24"/>
  </w:num>
  <w:num w:numId="5">
    <w:abstractNumId w:val="29"/>
  </w:num>
  <w:num w:numId="6">
    <w:abstractNumId w:val="14"/>
  </w:num>
  <w:num w:numId="7">
    <w:abstractNumId w:val="36"/>
  </w:num>
  <w:num w:numId="8">
    <w:abstractNumId w:val="9"/>
  </w:num>
  <w:num w:numId="9">
    <w:abstractNumId w:val="3"/>
  </w:num>
  <w:num w:numId="10">
    <w:abstractNumId w:val="18"/>
  </w:num>
  <w:num w:numId="11">
    <w:abstractNumId w:val="17"/>
  </w:num>
  <w:num w:numId="12">
    <w:abstractNumId w:val="43"/>
  </w:num>
  <w:num w:numId="13">
    <w:abstractNumId w:val="21"/>
  </w:num>
  <w:num w:numId="14">
    <w:abstractNumId w:val="45"/>
  </w:num>
  <w:num w:numId="15">
    <w:abstractNumId w:val="33"/>
  </w:num>
  <w:num w:numId="16">
    <w:abstractNumId w:val="35"/>
  </w:num>
  <w:num w:numId="17">
    <w:abstractNumId w:val="44"/>
  </w:num>
  <w:num w:numId="18">
    <w:abstractNumId w:val="24"/>
  </w:num>
  <w:num w:numId="19">
    <w:abstractNumId w:val="15"/>
  </w:num>
  <w:num w:numId="20">
    <w:abstractNumId w:val="23"/>
  </w:num>
  <w:num w:numId="21">
    <w:abstractNumId w:val="32"/>
  </w:num>
  <w:num w:numId="22">
    <w:abstractNumId w:val="52"/>
  </w:num>
  <w:num w:numId="23">
    <w:abstractNumId w:val="0"/>
  </w:num>
  <w:num w:numId="24">
    <w:abstractNumId w:val="49"/>
  </w:num>
  <w:num w:numId="25">
    <w:abstractNumId w:val="50"/>
  </w:num>
  <w:num w:numId="26">
    <w:abstractNumId w:val="16"/>
  </w:num>
  <w:num w:numId="27">
    <w:abstractNumId w:val="19"/>
  </w:num>
  <w:num w:numId="28">
    <w:abstractNumId w:val="31"/>
  </w:num>
  <w:num w:numId="29">
    <w:abstractNumId w:val="37"/>
  </w:num>
  <w:num w:numId="30">
    <w:abstractNumId w:val="39"/>
  </w:num>
  <w:num w:numId="31">
    <w:abstractNumId w:val="26"/>
  </w:num>
  <w:num w:numId="32">
    <w:abstractNumId w:val="6"/>
  </w:num>
  <w:num w:numId="33">
    <w:abstractNumId w:val="7"/>
  </w:num>
  <w:num w:numId="34">
    <w:abstractNumId w:val="1"/>
  </w:num>
  <w:num w:numId="35">
    <w:abstractNumId w:val="42"/>
  </w:num>
  <w:num w:numId="36">
    <w:abstractNumId w:val="13"/>
  </w:num>
  <w:num w:numId="37">
    <w:abstractNumId w:val="11"/>
  </w:num>
  <w:num w:numId="38">
    <w:abstractNumId w:val="10"/>
  </w:num>
  <w:num w:numId="39">
    <w:abstractNumId w:val="20"/>
  </w:num>
  <w:num w:numId="40">
    <w:abstractNumId w:val="46"/>
  </w:num>
  <w:num w:numId="41">
    <w:abstractNumId w:val="40"/>
  </w:num>
  <w:num w:numId="42">
    <w:abstractNumId w:val="27"/>
  </w:num>
  <w:num w:numId="43">
    <w:abstractNumId w:val="4"/>
  </w:num>
  <w:num w:numId="44">
    <w:abstractNumId w:val="5"/>
  </w:num>
  <w:num w:numId="45">
    <w:abstractNumId w:val="2"/>
  </w:num>
  <w:num w:numId="46">
    <w:abstractNumId w:val="34"/>
  </w:num>
  <w:num w:numId="47">
    <w:abstractNumId w:val="47"/>
  </w:num>
  <w:num w:numId="48">
    <w:abstractNumId w:val="38"/>
  </w:num>
  <w:num w:numId="49">
    <w:abstractNumId w:val="28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24"/>
  </w:num>
  <w:num w:numId="56">
    <w:abstractNumId w:val="24"/>
  </w:num>
  <w:num w:numId="57">
    <w:abstractNumId w:val="24"/>
  </w:num>
  <w:num w:numId="58">
    <w:abstractNumId w:val="30"/>
  </w:num>
  <w:num w:numId="59">
    <w:abstractNumId w:val="8"/>
  </w:num>
  <w:num w:numId="60">
    <w:abstractNumId w:val="12"/>
  </w:num>
  <w:num w:numId="61">
    <w:abstractNumId w:val="24"/>
  </w:num>
  <w:num w:numId="62">
    <w:abstractNumId w:val="24"/>
  </w:num>
  <w:num w:numId="63">
    <w:abstractNumId w:val="24"/>
  </w:num>
  <w:num w:numId="64">
    <w:abstractNumId w:val="24"/>
  </w:num>
  <w:num w:numId="65">
    <w:abstractNumId w:val="24"/>
  </w:num>
  <w:num w:numId="66">
    <w:abstractNumId w:val="25"/>
  </w:num>
  <w:num w:numId="67">
    <w:abstractNumId w:val="51"/>
  </w:num>
  <w:num w:numId="68">
    <w:abstractNumId w:val="53"/>
  </w:num>
  <w:num w:numId="69">
    <w:abstractNumId w:val="54"/>
  </w:num>
  <w:num w:numId="70">
    <w:abstractNumId w:val="55"/>
  </w:num>
  <w:num w:numId="71">
    <w:abstractNumId w:val="56"/>
  </w:num>
  <w:num w:numId="72">
    <w:abstractNumId w:val="57"/>
  </w:num>
  <w:num w:numId="73">
    <w:abstractNumId w:val="58"/>
  </w:num>
  <w:num w:numId="74">
    <w:abstractNumId w:val="59"/>
  </w:num>
  <w:num w:numId="75">
    <w:abstractNumId w:val="60"/>
  </w:num>
  <w:num w:numId="76">
    <w:abstractNumId w:val="61"/>
  </w:num>
  <w:num w:numId="77">
    <w:abstractNumId w:val="62"/>
  </w:num>
  <w:num w:numId="78">
    <w:abstractNumId w:val="63"/>
  </w:num>
  <w:num w:numId="79">
    <w:abstractNumId w:val="64"/>
  </w:num>
  <w:num w:numId="80">
    <w:abstractNumId w:val="65"/>
  </w:num>
  <w:num w:numId="81">
    <w:abstractNumId w:val="66"/>
  </w:num>
  <w:num w:numId="82">
    <w:abstractNumId w:val="67"/>
  </w:num>
  <w:num w:numId="83">
    <w:abstractNumId w:val="68"/>
  </w:num>
  <w:num w:numId="84">
    <w:abstractNumId w:val="69"/>
  </w:num>
  <w:num w:numId="85">
    <w:abstractNumId w:val="70"/>
  </w:num>
  <w:num w:numId="86">
    <w:abstractNumId w:val="71"/>
  </w:num>
  <w:num w:numId="87">
    <w:abstractNumId w:val="72"/>
  </w:num>
  <w:num w:numId="88">
    <w:abstractNumId w:val="73"/>
  </w:num>
  <w:num w:numId="89">
    <w:abstractNumId w:val="74"/>
  </w:num>
  <w:num w:numId="90">
    <w:abstractNumId w:val="75"/>
  </w:num>
  <w:num w:numId="91">
    <w:abstractNumId w:val="76"/>
  </w:num>
  <w:num w:numId="92">
    <w:abstractNumId w:val="77"/>
  </w:num>
  <w:num w:numId="93">
    <w:abstractNumId w:val="78"/>
  </w:num>
  <w:num w:numId="94">
    <w:abstractNumId w:val="79"/>
  </w:num>
  <w:num w:numId="95">
    <w:abstractNumId w:val="80"/>
  </w:num>
  <w:num w:numId="96">
    <w:abstractNumId w:val="81"/>
  </w:num>
  <w:num w:numId="97">
    <w:abstractNumId w:val="82"/>
  </w:num>
  <w:num w:numId="98">
    <w:abstractNumId w:val="83"/>
  </w:num>
  <w:num w:numId="99">
    <w:abstractNumId w:val="84"/>
  </w:num>
  <w:num w:numId="100">
    <w:abstractNumId w:val="85"/>
  </w:num>
  <w:num w:numId="101">
    <w:abstractNumId w:val="86"/>
  </w:num>
  <w:num w:numId="102">
    <w:abstractNumId w:val="87"/>
  </w:num>
  <w:num w:numId="103">
    <w:abstractNumId w:val="88"/>
  </w:num>
  <w:num w:numId="104">
    <w:abstractNumId w:val="89"/>
  </w:num>
  <w:num w:numId="105">
    <w:abstractNumId w:val="90"/>
  </w:num>
  <w:num w:numId="106">
    <w:abstractNumId w:val="91"/>
  </w:num>
  <w:num w:numId="107">
    <w:abstractNumId w:val="92"/>
  </w:num>
  <w:num w:numId="108">
    <w:abstractNumId w:val="93"/>
  </w:num>
  <w:num w:numId="109">
    <w:abstractNumId w:val="94"/>
  </w:num>
  <w:num w:numId="110">
    <w:abstractNumId w:val="95"/>
  </w:num>
  <w:num w:numId="111">
    <w:abstractNumId w:val="96"/>
  </w:num>
  <w:num w:numId="112">
    <w:abstractNumId w:val="97"/>
  </w:num>
  <w:num w:numId="113">
    <w:abstractNumId w:val="98"/>
  </w:num>
  <w:num w:numId="114">
    <w:abstractNumId w:val="99"/>
  </w:num>
  <w:num w:numId="115">
    <w:abstractNumId w:val="100"/>
  </w:num>
  <w:num w:numId="116">
    <w:abstractNumId w:val="101"/>
  </w:num>
  <w:num w:numId="117">
    <w:abstractNumId w:val="102"/>
  </w:num>
  <w:num w:numId="118">
    <w:abstractNumId w:val="103"/>
  </w:num>
  <w:num w:numId="119">
    <w:abstractNumId w:val="104"/>
  </w:num>
  <w:num w:numId="120">
    <w:abstractNumId w:val="105"/>
  </w:num>
  <w:num w:numId="121">
    <w:abstractNumId w:val="106"/>
  </w:num>
  <w:num w:numId="122">
    <w:abstractNumId w:val="107"/>
  </w:num>
  <w:num w:numId="123">
    <w:abstractNumId w:val="108"/>
  </w:num>
  <w:num w:numId="124">
    <w:abstractNumId w:val="109"/>
  </w:num>
  <w:num w:numId="125">
    <w:abstractNumId w:val="110"/>
  </w:num>
  <w:num w:numId="126">
    <w:abstractNumId w:val="111"/>
  </w:num>
  <w:num w:numId="127">
    <w:abstractNumId w:val="112"/>
  </w:num>
  <w:num w:numId="128">
    <w:abstractNumId w:val="113"/>
  </w:num>
  <w:num w:numId="129">
    <w:abstractNumId w:val="114"/>
  </w:num>
  <w:num w:numId="130">
    <w:abstractNumId w:val="115"/>
  </w:num>
  <w:num w:numId="131">
    <w:abstractNumId w:val="116"/>
  </w:num>
  <w:num w:numId="132">
    <w:abstractNumId w:val="117"/>
  </w:num>
  <w:num w:numId="133">
    <w:abstractNumId w:val="118"/>
  </w:num>
  <w:num w:numId="134">
    <w:abstractNumId w:val="119"/>
  </w:num>
  <w:num w:numId="135">
    <w:abstractNumId w:val="120"/>
  </w:num>
  <w:num w:numId="136">
    <w:abstractNumId w:val="121"/>
  </w:num>
  <w:num w:numId="137">
    <w:abstractNumId w:val="122"/>
  </w:num>
  <w:num w:numId="138">
    <w:abstractNumId w:val="123"/>
  </w:num>
  <w:num w:numId="139">
    <w:abstractNumId w:val="124"/>
  </w:num>
  <w:num w:numId="140">
    <w:abstractNumId w:val="125"/>
  </w:num>
  <w:num w:numId="141">
    <w:abstractNumId w:val="126"/>
  </w:num>
  <w:num w:numId="142">
    <w:abstractNumId w:val="127"/>
  </w:num>
  <w:num w:numId="143">
    <w:abstractNumId w:val="128"/>
  </w:num>
  <w:num w:numId="144">
    <w:abstractNumId w:val="129"/>
  </w:num>
  <w:num w:numId="145">
    <w:abstractNumId w:val="130"/>
  </w:num>
  <w:num w:numId="146">
    <w:abstractNumId w:val="131"/>
  </w:num>
  <w:num w:numId="147">
    <w:abstractNumId w:val="132"/>
  </w:num>
  <w:num w:numId="148">
    <w:abstractNumId w:val="133"/>
  </w:num>
  <w:num w:numId="149">
    <w:abstractNumId w:val="134"/>
  </w:num>
  <w:num w:numId="150">
    <w:abstractNumId w:val="135"/>
  </w:num>
  <w:num w:numId="151">
    <w:abstractNumId w:val="136"/>
  </w:num>
  <w:num w:numId="152">
    <w:abstractNumId w:val="137"/>
  </w:num>
  <w:num w:numId="153">
    <w:abstractNumId w:val="138"/>
  </w:num>
  <w:num w:numId="154">
    <w:abstractNumId w:val="139"/>
  </w:num>
  <w:num w:numId="155">
    <w:abstractNumId w:val="140"/>
  </w:num>
  <w:num w:numId="156">
    <w:abstractNumId w:val="141"/>
  </w:num>
  <w:num w:numId="157">
    <w:abstractNumId w:val="142"/>
  </w:num>
  <w:num w:numId="158">
    <w:abstractNumId w:val="143"/>
  </w:num>
  <w:num w:numId="159">
    <w:abstractNumId w:val="144"/>
  </w:num>
  <w:num w:numId="160">
    <w:abstractNumId w:val="145"/>
  </w:num>
  <w:num w:numId="161">
    <w:abstractNumId w:val="146"/>
  </w:num>
  <w:num w:numId="162">
    <w:abstractNumId w:val="147"/>
  </w:num>
  <w:num w:numId="163">
    <w:abstractNumId w:val="148"/>
  </w:num>
  <w:num w:numId="164">
    <w:abstractNumId w:val="149"/>
  </w:num>
  <w:num w:numId="165">
    <w:abstractNumId w:val="150"/>
  </w:num>
  <w:num w:numId="166">
    <w:abstractNumId w:val="151"/>
  </w:num>
  <w:num w:numId="167">
    <w:abstractNumId w:val="152"/>
  </w:num>
  <w:num w:numId="168">
    <w:abstractNumId w:val="153"/>
  </w:num>
  <w:num w:numId="169">
    <w:abstractNumId w:val="154"/>
  </w:num>
  <w:num w:numId="170">
    <w:abstractNumId w:val="155"/>
  </w:num>
  <w:num w:numId="171">
    <w:abstractNumId w:val="156"/>
  </w:num>
  <w:num w:numId="172">
    <w:abstractNumId w:val="157"/>
  </w:num>
  <w:num w:numId="173">
    <w:abstractNumId w:val="158"/>
  </w:num>
  <w:num w:numId="174">
    <w:abstractNumId w:val="159"/>
  </w:num>
  <w:num w:numId="175">
    <w:abstractNumId w:val="160"/>
  </w:num>
  <w:num w:numId="176">
    <w:abstractNumId w:val="161"/>
  </w:num>
  <w:num w:numId="177">
    <w:abstractNumId w:val="162"/>
  </w:num>
  <w:num w:numId="178">
    <w:abstractNumId w:val="163"/>
  </w:num>
  <w:num w:numId="179">
    <w:abstractNumId w:val="164"/>
  </w:num>
  <w:num w:numId="180">
    <w:abstractNumId w:val="165"/>
  </w:num>
  <w:num w:numId="181">
    <w:abstractNumId w:val="166"/>
  </w:num>
  <w:num w:numId="182">
    <w:abstractNumId w:val="167"/>
  </w:num>
  <w:num w:numId="183">
    <w:abstractNumId w:val="168"/>
  </w:num>
  <w:num w:numId="184">
    <w:abstractNumId w:val="169"/>
  </w:num>
  <w:num w:numId="185">
    <w:abstractNumId w:val="170"/>
  </w:num>
  <w:num w:numId="186">
    <w:abstractNumId w:val="171"/>
  </w:num>
  <w:num w:numId="187">
    <w:abstractNumId w:val="172"/>
  </w:num>
  <w:num w:numId="188">
    <w:abstractNumId w:val="173"/>
  </w:num>
  <w:num w:numId="189">
    <w:abstractNumId w:val="174"/>
  </w:num>
  <w:num w:numId="190">
    <w:abstractNumId w:val="175"/>
  </w:num>
  <w:num w:numId="191">
    <w:abstractNumId w:val="176"/>
  </w:num>
  <w:num w:numId="192">
    <w:abstractNumId w:val="177"/>
  </w:num>
  <w:num w:numId="193">
    <w:abstractNumId w:val="178"/>
  </w:num>
  <w:num w:numId="194">
    <w:abstractNumId w:val="179"/>
  </w:num>
  <w:num w:numId="195">
    <w:abstractNumId w:val="180"/>
  </w:num>
  <w:num w:numId="196">
    <w:abstractNumId w:val="181"/>
  </w:num>
  <w:num w:numId="197">
    <w:abstractNumId w:val="182"/>
  </w:num>
  <w:num w:numId="198">
    <w:abstractNumId w:val="183"/>
  </w:num>
  <w:num w:numId="199">
    <w:abstractNumId w:val="184"/>
  </w:num>
  <w:num w:numId="200">
    <w:abstractNumId w:val="185"/>
  </w:num>
  <w:num w:numId="201">
    <w:abstractNumId w:val="186"/>
  </w:num>
  <w:num w:numId="202">
    <w:abstractNumId w:val="187"/>
  </w:num>
  <w:num w:numId="203">
    <w:abstractNumId w:val="188"/>
  </w:num>
  <w:num w:numId="204">
    <w:abstractNumId w:val="189"/>
  </w:num>
  <w:num w:numId="205">
    <w:abstractNumId w:val="190"/>
  </w:num>
  <w:num w:numId="206">
    <w:abstractNumId w:val="191"/>
  </w:num>
  <w:num w:numId="207">
    <w:abstractNumId w:val="192"/>
  </w:num>
  <w:num w:numId="208">
    <w:abstractNumId w:val="193"/>
  </w:num>
  <w:num w:numId="209">
    <w:abstractNumId w:val="194"/>
  </w:num>
  <w:num w:numId="210">
    <w:abstractNumId w:val="195"/>
  </w:num>
  <w:num w:numId="211">
    <w:abstractNumId w:val="196"/>
  </w:num>
  <w:num w:numId="212">
    <w:abstractNumId w:val="197"/>
  </w:num>
  <w:num w:numId="213">
    <w:abstractNumId w:val="198"/>
  </w:num>
  <w:num w:numId="214">
    <w:abstractNumId w:val="199"/>
  </w:num>
  <w:num w:numId="215">
    <w:abstractNumId w:val="200"/>
  </w:num>
  <w:num w:numId="216">
    <w:abstractNumId w:val="201"/>
  </w:num>
  <w:num w:numId="217">
    <w:abstractNumId w:val="202"/>
  </w:num>
  <w:num w:numId="218">
    <w:abstractNumId w:val="203"/>
  </w:num>
  <w:num w:numId="219">
    <w:abstractNumId w:val="204"/>
  </w:num>
  <w:num w:numId="220">
    <w:abstractNumId w:val="205"/>
  </w:num>
  <w:num w:numId="221">
    <w:abstractNumId w:val="206"/>
  </w:num>
  <w:num w:numId="222">
    <w:abstractNumId w:val="207"/>
  </w:num>
  <w:num w:numId="223">
    <w:abstractNumId w:val="208"/>
  </w:num>
  <w:num w:numId="224">
    <w:abstractNumId w:val="209"/>
  </w:num>
  <w:num w:numId="225">
    <w:abstractNumId w:val="210"/>
  </w:num>
  <w:num w:numId="226">
    <w:abstractNumId w:val="211"/>
  </w:num>
  <w:num w:numId="227">
    <w:abstractNumId w:val="212"/>
  </w:num>
  <w:num w:numId="228">
    <w:abstractNumId w:val="213"/>
  </w:num>
  <w:num w:numId="229">
    <w:abstractNumId w:val="214"/>
  </w:num>
  <w:num w:numId="230">
    <w:abstractNumId w:val="215"/>
  </w:num>
  <w:num w:numId="231">
    <w:abstractNumId w:val="216"/>
  </w:num>
  <w:num w:numId="232">
    <w:abstractNumId w:val="217"/>
  </w:num>
  <w:num w:numId="233">
    <w:abstractNumId w:val="218"/>
  </w:num>
  <w:num w:numId="234">
    <w:abstractNumId w:val="219"/>
  </w:num>
  <w:num w:numId="235">
    <w:abstractNumId w:val="220"/>
  </w:num>
  <w:num w:numId="236">
    <w:abstractNumId w:val="221"/>
  </w:num>
  <w:num w:numId="237">
    <w:abstractNumId w:val="222"/>
  </w:num>
  <w:num w:numId="238">
    <w:abstractNumId w:val="223"/>
  </w:num>
  <w:num w:numId="239">
    <w:abstractNumId w:val="224"/>
  </w:num>
  <w:num w:numId="240">
    <w:abstractNumId w:val="225"/>
  </w:num>
  <w:num w:numId="241">
    <w:abstractNumId w:val="226"/>
  </w:num>
  <w:num w:numId="242">
    <w:abstractNumId w:val="227"/>
  </w:num>
  <w:num w:numId="243">
    <w:abstractNumId w:val="228"/>
  </w:num>
  <w:num w:numId="244">
    <w:abstractNumId w:val="229"/>
  </w:num>
  <w:num w:numId="245">
    <w:abstractNumId w:val="230"/>
  </w:num>
  <w:num w:numId="246">
    <w:abstractNumId w:val="231"/>
  </w:num>
  <w:num w:numId="247">
    <w:abstractNumId w:val="232"/>
  </w:num>
  <w:num w:numId="248">
    <w:abstractNumId w:val="233"/>
  </w:num>
  <w:num w:numId="249">
    <w:abstractNumId w:val="234"/>
  </w:num>
  <w:num w:numId="250">
    <w:abstractNumId w:val="235"/>
  </w:num>
  <w:num w:numId="251">
    <w:abstractNumId w:val="236"/>
  </w:num>
  <w:num w:numId="252">
    <w:abstractNumId w:val="237"/>
  </w:num>
  <w:num w:numId="253">
    <w:abstractNumId w:val="238"/>
  </w:num>
  <w:num w:numId="254">
    <w:abstractNumId w:val="239"/>
  </w:num>
  <w:num w:numId="255">
    <w:abstractNumId w:val="240"/>
  </w:num>
  <w:num w:numId="256">
    <w:abstractNumId w:val="241"/>
  </w:num>
  <w:num w:numId="257">
    <w:abstractNumId w:val="242"/>
  </w:num>
  <w:num w:numId="258">
    <w:abstractNumId w:val="243"/>
  </w:num>
  <w:num w:numId="259">
    <w:abstractNumId w:val="244"/>
  </w:num>
  <w:num w:numId="260">
    <w:abstractNumId w:val="245"/>
  </w:num>
  <w:num w:numId="261">
    <w:abstractNumId w:val="246"/>
  </w:num>
  <w:num w:numId="262">
    <w:abstractNumId w:val="247"/>
  </w:num>
  <w:num w:numId="263">
    <w:abstractNumId w:val="248"/>
  </w:num>
  <w:num w:numId="264">
    <w:abstractNumId w:val="249"/>
  </w:num>
  <w:num w:numId="265">
    <w:abstractNumId w:val="250"/>
  </w:num>
  <w:num w:numId="266">
    <w:abstractNumId w:val="251"/>
  </w:num>
  <w:num w:numId="267">
    <w:abstractNumId w:val="252"/>
  </w:num>
  <w:num w:numId="268">
    <w:abstractNumId w:val="253"/>
  </w:num>
  <w:num w:numId="269">
    <w:abstractNumId w:val="254"/>
  </w:num>
  <w:num w:numId="270">
    <w:abstractNumId w:val="255"/>
  </w:num>
  <w:num w:numId="271">
    <w:abstractNumId w:val="256"/>
  </w:num>
  <w:num w:numId="272">
    <w:abstractNumId w:val="257"/>
  </w:num>
  <w:num w:numId="273">
    <w:abstractNumId w:val="258"/>
  </w:num>
  <w:num w:numId="274">
    <w:abstractNumId w:val="259"/>
  </w:num>
  <w:num w:numId="275">
    <w:abstractNumId w:val="260"/>
  </w:num>
  <w:num w:numId="276">
    <w:abstractNumId w:val="261"/>
  </w:num>
  <w:num w:numId="277">
    <w:abstractNumId w:val="262"/>
  </w:num>
  <w:num w:numId="278">
    <w:abstractNumId w:val="263"/>
  </w:num>
  <w:num w:numId="279">
    <w:abstractNumId w:val="264"/>
  </w:num>
  <w:num w:numId="280">
    <w:abstractNumId w:val="265"/>
  </w:num>
  <w:num w:numId="281">
    <w:abstractNumId w:val="266"/>
  </w:num>
  <w:num w:numId="282">
    <w:abstractNumId w:val="267"/>
  </w:num>
  <w:num w:numId="283">
    <w:abstractNumId w:val="268"/>
  </w:num>
  <w:num w:numId="284">
    <w:abstractNumId w:val="269"/>
  </w:num>
  <w:num w:numId="285">
    <w:abstractNumId w:val="270"/>
  </w:num>
  <w:num w:numId="286">
    <w:abstractNumId w:val="271"/>
  </w:num>
  <w:num w:numId="287">
    <w:abstractNumId w:val="272"/>
  </w:num>
  <w:num w:numId="288">
    <w:abstractNumId w:val="273"/>
  </w:num>
  <w:num w:numId="289">
    <w:abstractNumId w:val="274"/>
  </w:num>
  <w:num w:numId="290">
    <w:abstractNumId w:val="275"/>
  </w:num>
  <w:num w:numId="291">
    <w:abstractNumId w:val="276"/>
  </w:num>
  <w:num w:numId="292">
    <w:abstractNumId w:val="277"/>
  </w:num>
  <w:num w:numId="293">
    <w:abstractNumId w:val="278"/>
  </w:num>
  <w:num w:numId="294">
    <w:abstractNumId w:val="279"/>
  </w:num>
  <w:num w:numId="295">
    <w:abstractNumId w:val="280"/>
  </w:num>
  <w:num w:numId="296">
    <w:abstractNumId w:val="281"/>
  </w:num>
  <w:num w:numId="297">
    <w:abstractNumId w:val="282"/>
  </w:num>
  <w:num w:numId="298">
    <w:abstractNumId w:val="283"/>
  </w:num>
  <w:num w:numId="299">
    <w:abstractNumId w:val="284"/>
  </w:num>
  <w:num w:numId="300">
    <w:abstractNumId w:val="285"/>
  </w:num>
  <w:num w:numId="301">
    <w:abstractNumId w:val="286"/>
  </w:num>
  <w:num w:numId="302">
    <w:abstractNumId w:val="287"/>
  </w:num>
  <w:num w:numId="303">
    <w:abstractNumId w:val="288"/>
  </w:num>
  <w:num w:numId="304">
    <w:abstractNumId w:val="289"/>
  </w:num>
  <w:num w:numId="305">
    <w:abstractNumId w:val="290"/>
  </w:num>
  <w:num w:numId="306">
    <w:abstractNumId w:val="291"/>
  </w:num>
  <w:num w:numId="307">
    <w:abstractNumId w:val="292"/>
  </w:num>
  <w:num w:numId="308">
    <w:abstractNumId w:val="293"/>
  </w:num>
  <w:num w:numId="309">
    <w:abstractNumId w:val="294"/>
  </w:num>
  <w:num w:numId="310">
    <w:abstractNumId w:val="295"/>
  </w:num>
  <w:num w:numId="311">
    <w:abstractNumId w:val="296"/>
  </w:num>
  <w:num w:numId="312">
    <w:abstractNumId w:val="297"/>
  </w:num>
  <w:num w:numId="313">
    <w:abstractNumId w:val="298"/>
  </w:num>
  <w:num w:numId="314">
    <w:abstractNumId w:val="299"/>
  </w:num>
  <w:num w:numId="315">
    <w:abstractNumId w:val="300"/>
  </w:num>
  <w:num w:numId="316">
    <w:abstractNumId w:val="301"/>
  </w:num>
  <w:num w:numId="317">
    <w:abstractNumId w:val="302"/>
  </w:num>
  <w:num w:numId="318">
    <w:abstractNumId w:val="303"/>
  </w:num>
  <w:num w:numId="319">
    <w:abstractNumId w:val="304"/>
  </w:num>
  <w:num w:numId="320">
    <w:abstractNumId w:val="305"/>
  </w:num>
  <w:num w:numId="321">
    <w:abstractNumId w:val="306"/>
  </w:num>
  <w:num w:numId="322">
    <w:abstractNumId w:val="307"/>
  </w:num>
  <w:num w:numId="323">
    <w:abstractNumId w:val="308"/>
  </w:num>
  <w:num w:numId="324">
    <w:abstractNumId w:val="309"/>
  </w:num>
  <w:num w:numId="325">
    <w:abstractNumId w:val="310"/>
  </w:num>
  <w:num w:numId="326">
    <w:abstractNumId w:val="311"/>
  </w:num>
  <w:num w:numId="327">
    <w:abstractNumId w:val="312"/>
  </w:num>
  <w:num w:numId="328">
    <w:abstractNumId w:val="313"/>
  </w:num>
  <w:num w:numId="329">
    <w:abstractNumId w:val="314"/>
  </w:num>
  <w:num w:numId="330">
    <w:abstractNumId w:val="315"/>
  </w:num>
  <w:num w:numId="331">
    <w:abstractNumId w:val="316"/>
  </w:num>
  <w:num w:numId="332">
    <w:abstractNumId w:val="317"/>
  </w:num>
  <w:num w:numId="333">
    <w:abstractNumId w:val="318"/>
  </w:num>
  <w:num w:numId="334">
    <w:abstractNumId w:val="319"/>
  </w:num>
  <w:num w:numId="335">
    <w:abstractNumId w:val="320"/>
  </w:num>
  <w:num w:numId="336">
    <w:abstractNumId w:val="321"/>
  </w:num>
  <w:num w:numId="337">
    <w:abstractNumId w:val="322"/>
  </w:num>
  <w:num w:numId="338">
    <w:abstractNumId w:val="323"/>
  </w:num>
  <w:num w:numId="339">
    <w:abstractNumId w:val="324"/>
  </w:num>
  <w:num w:numId="340">
    <w:abstractNumId w:val="325"/>
  </w:num>
  <w:num w:numId="341">
    <w:abstractNumId w:val="326"/>
  </w:num>
  <w:num w:numId="342">
    <w:abstractNumId w:val="327"/>
  </w:num>
  <w:num w:numId="343">
    <w:abstractNumId w:val="328"/>
  </w:num>
  <w:num w:numId="344">
    <w:abstractNumId w:val="329"/>
  </w:num>
  <w:num w:numId="345">
    <w:abstractNumId w:val="330"/>
  </w:num>
  <w:num w:numId="346">
    <w:abstractNumId w:val="331"/>
  </w:num>
  <w:num w:numId="347">
    <w:abstractNumId w:val="332"/>
  </w:num>
  <w:num w:numId="348">
    <w:abstractNumId w:val="333"/>
  </w:num>
  <w:num w:numId="349">
    <w:abstractNumId w:val="334"/>
  </w:num>
  <w:num w:numId="350">
    <w:abstractNumId w:val="335"/>
  </w:num>
  <w:num w:numId="351">
    <w:abstractNumId w:val="336"/>
  </w:num>
  <w:num w:numId="352">
    <w:abstractNumId w:val="337"/>
  </w:num>
  <w:num w:numId="353">
    <w:abstractNumId w:val="338"/>
  </w:num>
  <w:num w:numId="354">
    <w:abstractNumId w:val="339"/>
  </w:num>
  <w:num w:numId="355">
    <w:abstractNumId w:val="340"/>
  </w:num>
  <w:num w:numId="356">
    <w:abstractNumId w:val="341"/>
  </w:num>
  <w:num w:numId="357">
    <w:abstractNumId w:val="342"/>
  </w:num>
  <w:num w:numId="358">
    <w:abstractNumId w:val="343"/>
  </w:num>
  <w:num w:numId="359">
    <w:abstractNumId w:val="344"/>
  </w:num>
  <w:num w:numId="360">
    <w:abstractNumId w:val="345"/>
  </w:num>
  <w:num w:numId="361">
    <w:abstractNumId w:val="346"/>
  </w:num>
  <w:num w:numId="362">
    <w:abstractNumId w:val="347"/>
  </w:num>
  <w:num w:numId="363">
    <w:abstractNumId w:val="348"/>
  </w:num>
  <w:num w:numId="364">
    <w:abstractNumId w:val="349"/>
  </w:num>
  <w:num w:numId="365">
    <w:abstractNumId w:val="350"/>
  </w:num>
  <w:num w:numId="366">
    <w:abstractNumId w:val="351"/>
  </w:num>
  <w:num w:numId="367">
    <w:abstractNumId w:val="352"/>
  </w:num>
  <w:num w:numId="368">
    <w:abstractNumId w:val="353"/>
  </w:num>
  <w:num w:numId="369">
    <w:abstractNumId w:val="354"/>
  </w:num>
  <w:num w:numId="370">
    <w:abstractNumId w:val="355"/>
  </w:num>
  <w:num w:numId="371">
    <w:abstractNumId w:val="356"/>
  </w:num>
  <w:num w:numId="372">
    <w:abstractNumId w:val="357"/>
  </w:num>
  <w:num w:numId="373">
    <w:abstractNumId w:val="358"/>
  </w:num>
  <w:num w:numId="374">
    <w:abstractNumId w:val="359"/>
  </w:num>
  <w:num w:numId="375">
    <w:abstractNumId w:val="360"/>
  </w:num>
  <w:num w:numId="376">
    <w:abstractNumId w:val="361"/>
  </w:num>
  <w:num w:numId="377">
    <w:abstractNumId w:val="362"/>
  </w:num>
  <w:num w:numId="378">
    <w:abstractNumId w:val="363"/>
  </w:num>
  <w:num w:numId="379">
    <w:abstractNumId w:val="364"/>
  </w:num>
  <w:num w:numId="380">
    <w:abstractNumId w:val="365"/>
  </w:num>
  <w:num w:numId="381">
    <w:abstractNumId w:val="366"/>
  </w:num>
  <w:num w:numId="382">
    <w:abstractNumId w:val="3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07">
    <w:name w:val="Heading 1 Char"/>
    <w:basedOn w:val="1662"/>
    <w:link w:val="1653"/>
    <w:uiPriority w:val="9"/>
    <w:rPr>
      <w:rFonts w:ascii="Arial" w:hAnsi="Arial" w:eastAsia="Arial" w:cs="Arial"/>
      <w:sz w:val="40"/>
      <w:szCs w:val="40"/>
    </w:rPr>
  </w:style>
  <w:style w:type="character" w:styleId="1508">
    <w:name w:val="Heading 2 Char"/>
    <w:basedOn w:val="1662"/>
    <w:link w:val="1654"/>
    <w:uiPriority w:val="9"/>
    <w:rPr>
      <w:rFonts w:ascii="Arial" w:hAnsi="Arial" w:eastAsia="Arial" w:cs="Arial"/>
      <w:sz w:val="34"/>
    </w:rPr>
  </w:style>
  <w:style w:type="character" w:styleId="1509">
    <w:name w:val="Heading 3 Char"/>
    <w:basedOn w:val="1662"/>
    <w:link w:val="1655"/>
    <w:uiPriority w:val="9"/>
    <w:rPr>
      <w:rFonts w:ascii="Arial" w:hAnsi="Arial" w:eastAsia="Arial" w:cs="Arial"/>
      <w:sz w:val="30"/>
      <w:szCs w:val="30"/>
    </w:rPr>
  </w:style>
  <w:style w:type="character" w:styleId="1510">
    <w:name w:val="Heading 4 Char"/>
    <w:basedOn w:val="1662"/>
    <w:link w:val="1656"/>
    <w:uiPriority w:val="9"/>
    <w:rPr>
      <w:rFonts w:ascii="Arial" w:hAnsi="Arial" w:eastAsia="Arial" w:cs="Arial"/>
      <w:b/>
      <w:bCs/>
      <w:sz w:val="26"/>
      <w:szCs w:val="26"/>
    </w:rPr>
  </w:style>
  <w:style w:type="character" w:styleId="1511">
    <w:name w:val="Heading 5 Char"/>
    <w:basedOn w:val="1662"/>
    <w:link w:val="1657"/>
    <w:uiPriority w:val="9"/>
    <w:rPr>
      <w:rFonts w:ascii="Arial" w:hAnsi="Arial" w:eastAsia="Arial" w:cs="Arial"/>
      <w:b/>
      <w:bCs/>
      <w:sz w:val="24"/>
      <w:szCs w:val="24"/>
    </w:rPr>
  </w:style>
  <w:style w:type="character" w:styleId="1512">
    <w:name w:val="Heading 6 Char"/>
    <w:basedOn w:val="1662"/>
    <w:link w:val="1658"/>
    <w:uiPriority w:val="9"/>
    <w:rPr>
      <w:rFonts w:ascii="Arial" w:hAnsi="Arial" w:eastAsia="Arial" w:cs="Arial"/>
      <w:b/>
      <w:bCs/>
      <w:sz w:val="22"/>
      <w:szCs w:val="22"/>
    </w:rPr>
  </w:style>
  <w:style w:type="character" w:styleId="1513">
    <w:name w:val="Heading 7 Char"/>
    <w:basedOn w:val="1662"/>
    <w:link w:val="16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514">
    <w:name w:val="Heading 8 Char"/>
    <w:basedOn w:val="1662"/>
    <w:link w:val="1660"/>
    <w:uiPriority w:val="9"/>
    <w:rPr>
      <w:rFonts w:ascii="Arial" w:hAnsi="Arial" w:eastAsia="Arial" w:cs="Arial"/>
      <w:i/>
      <w:iCs/>
      <w:sz w:val="22"/>
      <w:szCs w:val="22"/>
    </w:rPr>
  </w:style>
  <w:style w:type="character" w:styleId="1515">
    <w:name w:val="Heading 9 Char"/>
    <w:basedOn w:val="1662"/>
    <w:link w:val="1661"/>
    <w:uiPriority w:val="9"/>
    <w:rPr>
      <w:rFonts w:ascii="Arial" w:hAnsi="Arial" w:eastAsia="Arial" w:cs="Arial"/>
      <w:i/>
      <w:iCs/>
      <w:sz w:val="21"/>
      <w:szCs w:val="21"/>
    </w:rPr>
  </w:style>
  <w:style w:type="paragraph" w:styleId="1516">
    <w:name w:val="Title"/>
    <w:basedOn w:val="1652"/>
    <w:next w:val="1652"/>
    <w:link w:val="15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17">
    <w:name w:val="Title Char"/>
    <w:basedOn w:val="1662"/>
    <w:link w:val="1516"/>
    <w:uiPriority w:val="10"/>
    <w:rPr>
      <w:sz w:val="48"/>
      <w:szCs w:val="48"/>
    </w:rPr>
  </w:style>
  <w:style w:type="character" w:styleId="1518">
    <w:name w:val="Subtitle Char"/>
    <w:basedOn w:val="1662"/>
    <w:link w:val="1716"/>
    <w:uiPriority w:val="11"/>
    <w:rPr>
      <w:sz w:val="24"/>
      <w:szCs w:val="24"/>
    </w:rPr>
  </w:style>
  <w:style w:type="character" w:styleId="1519">
    <w:name w:val="Quote Char"/>
    <w:link w:val="1720"/>
    <w:uiPriority w:val="29"/>
    <w:rPr>
      <w:i/>
    </w:rPr>
  </w:style>
  <w:style w:type="character" w:styleId="1520">
    <w:name w:val="Intense Quote Char"/>
    <w:link w:val="1722"/>
    <w:uiPriority w:val="30"/>
    <w:rPr>
      <w:i/>
    </w:rPr>
  </w:style>
  <w:style w:type="character" w:styleId="1521">
    <w:name w:val="Header Char"/>
    <w:basedOn w:val="1662"/>
    <w:link w:val="1674"/>
    <w:uiPriority w:val="99"/>
  </w:style>
  <w:style w:type="character" w:styleId="1522">
    <w:name w:val="Footer Char"/>
    <w:basedOn w:val="1662"/>
    <w:link w:val="1677"/>
    <w:uiPriority w:val="99"/>
  </w:style>
  <w:style w:type="character" w:styleId="1523">
    <w:name w:val="Caption Char"/>
    <w:basedOn w:val="1714"/>
    <w:link w:val="1677"/>
    <w:uiPriority w:val="99"/>
  </w:style>
  <w:style w:type="table" w:styleId="1524">
    <w:name w:val="Table Grid Light"/>
    <w:basedOn w:val="16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25">
    <w:name w:val="Plain Table 1"/>
    <w:basedOn w:val="16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26">
    <w:name w:val="Plain Table 2"/>
    <w:basedOn w:val="16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27">
    <w:name w:val="Plain Table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28">
    <w:name w:val="Plain Table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9">
    <w:name w:val="Plain Table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530">
    <w:name w:val="Grid Table 1 Light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1">
    <w:name w:val="Grid Table 1 Light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2">
    <w:name w:val="Grid Table 1 Light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3">
    <w:name w:val="Grid Table 1 Light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4">
    <w:name w:val="Grid Table 1 Light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5">
    <w:name w:val="Grid Table 1 Light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6">
    <w:name w:val="Grid Table 1 Light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7">
    <w:name w:val="Grid Table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8">
    <w:name w:val="Grid Table 2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9">
    <w:name w:val="Grid Table 2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0">
    <w:name w:val="Grid Table 2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1">
    <w:name w:val="Grid Table 2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2">
    <w:name w:val="Grid Table 2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3">
    <w:name w:val="Grid Table 2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4">
    <w:name w:val="Grid Table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5">
    <w:name w:val="Grid Table 3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6">
    <w:name w:val="Grid Table 3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7">
    <w:name w:val="Grid Table 3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8">
    <w:name w:val="Grid Table 3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9">
    <w:name w:val="Grid Table 3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0">
    <w:name w:val="Grid Table 3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1">
    <w:name w:val="Grid Table 4"/>
    <w:basedOn w:val="1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552">
    <w:name w:val="Grid Table 4 - Accent 1"/>
    <w:basedOn w:val="1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553">
    <w:name w:val="Grid Table 4 - Accent 2"/>
    <w:basedOn w:val="1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554">
    <w:name w:val="Grid Table 4 - Accent 3"/>
    <w:basedOn w:val="1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555">
    <w:name w:val="Grid Table 4 - Accent 4"/>
    <w:basedOn w:val="1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556">
    <w:name w:val="Grid Table 4 - Accent 5"/>
    <w:basedOn w:val="1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557">
    <w:name w:val="Grid Table 4 - Accent 6"/>
    <w:basedOn w:val="1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558">
    <w:name w:val="Grid Table 5 Dark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559">
    <w:name w:val="Grid Table 5 Dark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560">
    <w:name w:val="Grid Table 5 Dark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561">
    <w:name w:val="Grid Table 5 Dark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562">
    <w:name w:val="Grid Table 5 Dark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563">
    <w:name w:val="Grid Table 5 Dark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564">
    <w:name w:val="Grid Table 5 Dark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565">
    <w:name w:val="Grid Table 6 Colorful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566">
    <w:name w:val="Grid Table 6 Colorful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567">
    <w:name w:val="Grid Table 6 Colorful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568">
    <w:name w:val="Grid Table 6 Colorful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569">
    <w:name w:val="Grid Table 6 Colorful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570">
    <w:name w:val="Grid Table 6 Colorful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571">
    <w:name w:val="Grid Table 6 Colorful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572">
    <w:name w:val="Grid Table 7 Colorful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3">
    <w:name w:val="Grid Table 7 Colorful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4">
    <w:name w:val="Grid Table 7 Colorful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5">
    <w:name w:val="Grid Table 7 Colorful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6">
    <w:name w:val="Grid Table 7 Colorful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7">
    <w:name w:val="Grid Table 7 Colorful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8">
    <w:name w:val="Grid Table 7 Colorful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9">
    <w:name w:val="List Table 1 Light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0">
    <w:name w:val="List Table 1 Light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1">
    <w:name w:val="List Table 1 Light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2">
    <w:name w:val="List Table 1 Light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3">
    <w:name w:val="List Table 1 Light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4">
    <w:name w:val="List Table 1 Light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5">
    <w:name w:val="List Table 1 Light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6">
    <w:name w:val="List Table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587">
    <w:name w:val="List Table 2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588">
    <w:name w:val="List Table 2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589">
    <w:name w:val="List Table 2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590">
    <w:name w:val="List Table 2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591">
    <w:name w:val="List Table 2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592">
    <w:name w:val="List Table 2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593">
    <w:name w:val="List Table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4">
    <w:name w:val="List Table 3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5">
    <w:name w:val="List Table 3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6">
    <w:name w:val="List Table 3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7">
    <w:name w:val="List Table 3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8">
    <w:name w:val="List Table 3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9">
    <w:name w:val="List Table 3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0">
    <w:name w:val="List Table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1">
    <w:name w:val="List Table 4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2">
    <w:name w:val="List Table 4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3">
    <w:name w:val="List Table 4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4">
    <w:name w:val="List Table 4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5">
    <w:name w:val="List Table 4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6">
    <w:name w:val="List Table 4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7">
    <w:name w:val="List Table 5 Dark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08">
    <w:name w:val="List Table 5 Dark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09">
    <w:name w:val="List Table 5 Dark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10">
    <w:name w:val="List Table 5 Dark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11">
    <w:name w:val="List Table 5 Dark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12">
    <w:name w:val="List Table 5 Dark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13">
    <w:name w:val="List Table 5 Dark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14">
    <w:name w:val="List Table 6 Colorful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615">
    <w:name w:val="List Table 6 Colorful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616">
    <w:name w:val="List Table 6 Colorful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617">
    <w:name w:val="List Table 6 Colorful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618">
    <w:name w:val="List Table 6 Colorful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619">
    <w:name w:val="List Table 6 Colorful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620">
    <w:name w:val="List Table 6 Colorful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621">
    <w:name w:val="List Table 7 Colorful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622">
    <w:name w:val="List Table 7 Colorful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623">
    <w:name w:val="List Table 7 Colorful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624">
    <w:name w:val="List Table 7 Colorful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625">
    <w:name w:val="List Table 7 Colorful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626">
    <w:name w:val="List Table 7 Colorful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627">
    <w:name w:val="List Table 7 Colorful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628">
    <w:name w:val="Lined - Accent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9">
    <w:name w:val="Lined - Accent 1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30">
    <w:name w:val="Lined - Accent 2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1">
    <w:name w:val="Lined - Accent 3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2">
    <w:name w:val="Lined - Accent 4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3">
    <w:name w:val="Lined - Accent 5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34">
    <w:name w:val="Lined - Accent 6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35">
    <w:name w:val="Bordered &amp; Lined - Accent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36">
    <w:name w:val="Bordered &amp; Lined - Accent 1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37">
    <w:name w:val="Bordered &amp; Lined - Accent 2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8">
    <w:name w:val="Bordered &amp; Lined - Accent 3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9">
    <w:name w:val="Bordered &amp; Lined - Accent 4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0">
    <w:name w:val="Bordered &amp; Lined - Accent 5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41">
    <w:name w:val="Bordered &amp; Lined - Accent 6"/>
    <w:basedOn w:val="1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42">
    <w:name w:val="Bordered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43">
    <w:name w:val="Bordered - Accent 1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44">
    <w:name w:val="Bordered - Accent 2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45">
    <w:name w:val="Bordered - Accent 3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46">
    <w:name w:val="Bordered - Accent 4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647">
    <w:name w:val="Bordered - Accent 5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648">
    <w:name w:val="Bordered - Accent 6"/>
    <w:basedOn w:val="1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649">
    <w:name w:val="Footnote Text Char"/>
    <w:link w:val="1668"/>
    <w:uiPriority w:val="99"/>
    <w:rPr>
      <w:sz w:val="18"/>
    </w:rPr>
  </w:style>
  <w:style w:type="character" w:styleId="1650">
    <w:name w:val="Endnote Text Char"/>
    <w:link w:val="1762"/>
    <w:uiPriority w:val="99"/>
    <w:rPr>
      <w:sz w:val="20"/>
    </w:rPr>
  </w:style>
  <w:style w:type="paragraph" w:styleId="1651">
    <w:name w:val="table of figures"/>
    <w:basedOn w:val="1652"/>
    <w:next w:val="1652"/>
    <w:uiPriority w:val="99"/>
    <w:unhideWhenUsed/>
    <w:pPr>
      <w:spacing w:after="0" w:afterAutospacing="0"/>
    </w:pPr>
  </w:style>
  <w:style w:type="paragraph" w:styleId="1652" w:default="1">
    <w:name w:val="Normal"/>
    <w:qFormat/>
    <w:rPr>
      <w:sz w:val="28"/>
      <w:szCs w:val="28"/>
    </w:rPr>
  </w:style>
  <w:style w:type="paragraph" w:styleId="1653">
    <w:name w:val="Heading 1"/>
    <w:basedOn w:val="1655"/>
    <w:next w:val="1652"/>
    <w:link w:val="1706"/>
    <w:qFormat/>
    <w:pPr>
      <w:numPr>
        <w:ilvl w:val="0"/>
      </w:numPr>
      <w:ind w:left="426"/>
      <w:jc w:val="center"/>
      <w:outlineLvl w:val="0"/>
    </w:pPr>
    <w:rPr>
      <w:sz w:val="28"/>
      <w:szCs w:val="28"/>
    </w:rPr>
  </w:style>
  <w:style w:type="paragraph" w:styleId="1654">
    <w:name w:val="Heading 2"/>
    <w:basedOn w:val="1656"/>
    <w:next w:val="1652"/>
    <w:link w:val="1708"/>
    <w:qFormat/>
    <w:pPr>
      <w:outlineLvl w:val="1"/>
    </w:pPr>
  </w:style>
  <w:style w:type="paragraph" w:styleId="1655">
    <w:name w:val="Heading 3"/>
    <w:basedOn w:val="1652"/>
    <w:next w:val="1652"/>
    <w:link w:val="1709"/>
    <w:qFormat/>
    <w:pPr>
      <w:numPr>
        <w:ilvl w:val="2"/>
        <w:numId w:val="4"/>
      </w:numPr>
      <w:jc w:val="both"/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1656">
    <w:name w:val="Heading 4"/>
    <w:basedOn w:val="1655"/>
    <w:next w:val="1652"/>
    <w:link w:val="1710"/>
    <w:qFormat/>
    <w:pPr>
      <w:numPr>
        <w:ilvl w:val="1"/>
      </w:numPr>
      <w:outlineLvl w:val="3"/>
    </w:pPr>
    <w:rPr>
      <w:bCs/>
    </w:rPr>
  </w:style>
  <w:style w:type="paragraph" w:styleId="1657">
    <w:name w:val="Heading 5"/>
    <w:basedOn w:val="1652"/>
    <w:next w:val="1652"/>
    <w:link w:val="1711"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658">
    <w:name w:val="Heading 6"/>
    <w:basedOn w:val="1652"/>
    <w:next w:val="1652"/>
    <w:link w:val="1703"/>
    <w:uiPriority w:val="9"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1659">
    <w:name w:val="Heading 7"/>
    <w:basedOn w:val="1652"/>
    <w:next w:val="1652"/>
    <w:link w:val="1704"/>
    <w:uiPriority w:val="9"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1660">
    <w:name w:val="Heading 8"/>
    <w:basedOn w:val="1652"/>
    <w:next w:val="1652"/>
    <w:link w:val="1705"/>
    <w:uiPriority w:val="9"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1661">
    <w:name w:val="Heading 9"/>
    <w:basedOn w:val="1652"/>
    <w:next w:val="1652"/>
    <w:link w:val="1712"/>
    <w:uiPriority w:val="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1662" w:default="1">
    <w:name w:val="Default Paragraph Font"/>
    <w:uiPriority w:val="1"/>
    <w:semiHidden/>
    <w:unhideWhenUsed/>
  </w:style>
  <w:style w:type="table" w:styleId="16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64" w:default="1">
    <w:name w:val="No List"/>
    <w:uiPriority w:val="99"/>
    <w:semiHidden/>
    <w:unhideWhenUsed/>
  </w:style>
  <w:style w:type="paragraph" w:styleId="1665" w:customStyle="1">
    <w:name w:val="Название раздела инструкции"/>
    <w:basedOn w:val="1652"/>
    <w:pPr>
      <w:jc w:val="center"/>
    </w:pPr>
    <w:rPr>
      <w:b/>
    </w:rPr>
  </w:style>
  <w:style w:type="paragraph" w:styleId="1666" w:customStyle="1">
    <w:name w:val="Раздел положения"/>
    <w:basedOn w:val="1652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667" w:customStyle="1">
    <w:name w:val="Подраздел раздела положения"/>
    <w:basedOn w:val="1652"/>
    <w:pPr>
      <w:numPr>
        <w:ilvl w:val="1"/>
        <w:numId w:val="1"/>
      </w:numPr>
      <w:jc w:val="both"/>
      <w:spacing w:before="80" w:after="80"/>
    </w:pPr>
  </w:style>
  <w:style w:type="paragraph" w:styleId="1668">
    <w:name w:val="footnote text"/>
    <w:basedOn w:val="1652"/>
    <w:link w:val="1742"/>
    <w:uiPriority w:val="99"/>
    <w:rPr>
      <w:sz w:val="20"/>
      <w:szCs w:val="20"/>
    </w:rPr>
  </w:style>
  <w:style w:type="character" w:styleId="1669">
    <w:name w:val="footnote reference"/>
    <w:uiPriority w:val="99"/>
    <w:rPr>
      <w:vertAlign w:val="superscript"/>
    </w:rPr>
  </w:style>
  <w:style w:type="paragraph" w:styleId="1670" w:customStyle="1">
    <w:name w:val="Шапка 1"/>
    <w:basedOn w:val="1652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671" w:customStyle="1">
    <w:name w:val="Шапка 2"/>
    <w:basedOn w:val="1652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672" w:customStyle="1">
    <w:name w:val="Шапка 3"/>
    <w:basedOn w:val="1652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673" w:customStyle="1">
    <w:name w:val="Название1"/>
    <w:basedOn w:val="1652"/>
    <w:link w:val="1715"/>
    <w:uiPriority w:val="10"/>
    <w:pPr>
      <w:jc w:val="center"/>
    </w:pPr>
    <w:rPr>
      <w:szCs w:val="20"/>
    </w:rPr>
  </w:style>
  <w:style w:type="paragraph" w:styleId="1674">
    <w:name w:val="Header"/>
    <w:basedOn w:val="1652"/>
    <w:link w:val="175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675">
    <w:name w:val="Body Text Indent"/>
    <w:basedOn w:val="1652"/>
    <w:pPr>
      <w:ind w:left="360"/>
    </w:pPr>
    <w:rPr>
      <w:sz w:val="24"/>
      <w:szCs w:val="24"/>
    </w:rPr>
  </w:style>
  <w:style w:type="table" w:styleId="1676">
    <w:name w:val="Table Grid"/>
    <w:basedOn w:val="1663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77">
    <w:name w:val="Footer"/>
    <w:basedOn w:val="1652"/>
    <w:pPr>
      <w:tabs>
        <w:tab w:val="center" w:pos="4677" w:leader="none"/>
        <w:tab w:val="right" w:pos="9355" w:leader="none"/>
      </w:tabs>
    </w:pPr>
  </w:style>
  <w:style w:type="paragraph" w:styleId="1678">
    <w:name w:val="Body Text"/>
    <w:basedOn w:val="1652"/>
    <w:link w:val="1745"/>
    <w:pPr>
      <w:spacing w:after="120"/>
    </w:pPr>
  </w:style>
  <w:style w:type="paragraph" w:styleId="1679">
    <w:name w:val="Body Text Indent 2"/>
    <w:basedOn w:val="1652"/>
    <w:pPr>
      <w:ind w:left="283"/>
      <w:spacing w:after="120" w:line="480" w:lineRule="auto"/>
    </w:pPr>
  </w:style>
  <w:style w:type="paragraph" w:styleId="1680">
    <w:name w:val="Body Text 3"/>
    <w:basedOn w:val="1652"/>
    <w:pPr>
      <w:spacing w:after="120"/>
    </w:pPr>
    <w:rPr>
      <w:sz w:val="16"/>
      <w:szCs w:val="16"/>
    </w:rPr>
  </w:style>
  <w:style w:type="paragraph" w:styleId="1681">
    <w:name w:val="Body Text Indent 3"/>
    <w:basedOn w:val="1652"/>
    <w:link w:val="1776"/>
    <w:pPr>
      <w:ind w:left="283"/>
      <w:spacing w:after="120"/>
    </w:pPr>
    <w:rPr>
      <w:sz w:val="16"/>
      <w:szCs w:val="16"/>
    </w:rPr>
  </w:style>
  <w:style w:type="paragraph" w:styleId="1682">
    <w:name w:val="Body Text 2"/>
    <w:basedOn w:val="1652"/>
    <w:pPr>
      <w:spacing w:after="120" w:line="480" w:lineRule="auto"/>
    </w:pPr>
  </w:style>
  <w:style w:type="paragraph" w:styleId="1683">
    <w:name w:val="Block Text"/>
    <w:basedOn w:val="1652"/>
    <w:pPr>
      <w:ind w:left="-567" w:right="-766"/>
      <w:jc w:val="center"/>
    </w:pPr>
    <w:rPr>
      <w:b/>
      <w:bCs/>
      <w:sz w:val="24"/>
      <w:szCs w:val="20"/>
    </w:rPr>
  </w:style>
  <w:style w:type="paragraph" w:styleId="1684" w:customStyle="1">
    <w:name w:val="Подпункт"/>
    <w:basedOn w:val="1652"/>
    <w:link w:val="1740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685" w:customStyle="1">
    <w:name w:val="Пункт2"/>
    <w:basedOn w:val="1652"/>
    <w:link w:val="1766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686">
    <w:name w:val="page number"/>
    <w:basedOn w:val="1662"/>
  </w:style>
  <w:style w:type="paragraph" w:styleId="1687">
    <w:name w:val="toc 1"/>
    <w:basedOn w:val="1652"/>
    <w:next w:val="1652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688">
    <w:name w:val="toc 3"/>
    <w:basedOn w:val="1652"/>
    <w:next w:val="1652"/>
    <w:uiPriority w:val="39"/>
    <w:pPr>
      <w:ind w:left="280"/>
    </w:pPr>
    <w:rPr>
      <w:rFonts w:cstheme="minorHAnsi"/>
      <w:sz w:val="20"/>
      <w:szCs w:val="20"/>
    </w:rPr>
  </w:style>
  <w:style w:type="character" w:styleId="1689">
    <w:name w:val="Hyperlink"/>
    <w:uiPriority w:val="99"/>
    <w:rPr>
      <w:color w:val="0000ff"/>
      <w:u w:val="single"/>
    </w:rPr>
  </w:style>
  <w:style w:type="paragraph" w:styleId="1690" w:customStyle="1">
    <w:name w:val="Раздел регламента"/>
    <w:basedOn w:val="1652"/>
  </w:style>
  <w:style w:type="paragraph" w:styleId="1691" w:customStyle="1">
    <w:name w:val="Приложение к регламенту"/>
    <w:basedOn w:val="1652"/>
    <w:pPr>
      <w:jc w:val="right"/>
    </w:pPr>
  </w:style>
  <w:style w:type="paragraph" w:styleId="1692">
    <w:name w:val="toc 2"/>
    <w:basedOn w:val="1652"/>
    <w:next w:val="1652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693">
    <w:name w:val="Balloon Text"/>
    <w:basedOn w:val="1652"/>
    <w:semiHidden/>
    <w:rPr>
      <w:rFonts w:ascii="Tahoma" w:hAnsi="Tahoma" w:cs="Tahoma"/>
      <w:sz w:val="16"/>
      <w:szCs w:val="16"/>
    </w:rPr>
  </w:style>
  <w:style w:type="character" w:styleId="1694">
    <w:name w:val="annotation reference"/>
    <w:uiPriority w:val="99"/>
    <w:semiHidden/>
    <w:rPr>
      <w:sz w:val="16"/>
      <w:szCs w:val="16"/>
    </w:rPr>
  </w:style>
  <w:style w:type="paragraph" w:styleId="1695">
    <w:name w:val="annotation text"/>
    <w:basedOn w:val="1652"/>
    <w:link w:val="1760"/>
    <w:semiHidden/>
    <w:rPr>
      <w:sz w:val="20"/>
      <w:szCs w:val="20"/>
    </w:rPr>
  </w:style>
  <w:style w:type="paragraph" w:styleId="1696">
    <w:name w:val="annotation subject"/>
    <w:basedOn w:val="1695"/>
    <w:next w:val="1695"/>
    <w:semiHidden/>
    <w:rPr>
      <w:b/>
      <w:bCs/>
    </w:rPr>
  </w:style>
  <w:style w:type="paragraph" w:styleId="1697" w:customStyle="1">
    <w:name w:val="Обычный (веб)1"/>
    <w:basedOn w:val="1652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698">
    <w:name w:val="toc 9"/>
    <w:basedOn w:val="1652"/>
    <w:next w:val="1652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699">
    <w:name w:val="toc 5"/>
    <w:basedOn w:val="1652"/>
    <w:next w:val="1652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700">
    <w:name w:val="toc 4"/>
    <w:basedOn w:val="1652"/>
    <w:next w:val="1652"/>
    <w:uiPriority w:val="39"/>
    <w:pPr>
      <w:ind w:left="560"/>
    </w:pPr>
    <w:rPr>
      <w:rFonts w:cstheme="minorHAnsi"/>
      <w:sz w:val="20"/>
      <w:szCs w:val="20"/>
    </w:rPr>
  </w:style>
  <w:style w:type="paragraph" w:styleId="1701" w:customStyle="1">
    <w:name w:val="Раздел положения 2"/>
    <w:basedOn w:val="1652"/>
    <w:pPr>
      <w:jc w:val="both"/>
      <w:pageBreakBefore/>
      <w:outlineLvl w:val="0"/>
    </w:pPr>
    <w:rPr>
      <w:b/>
    </w:rPr>
  </w:style>
  <w:style w:type="character" w:styleId="1702">
    <w:name w:val="Strong"/>
    <w:uiPriority w:val="22"/>
    <w:qFormat/>
    <w:rPr>
      <w:b/>
      <w:bCs/>
    </w:rPr>
  </w:style>
  <w:style w:type="character" w:styleId="1703" w:customStyle="1">
    <w:name w:val="Заголовок 6 Знак"/>
    <w:link w:val="1658"/>
    <w:uiPriority w:val="9"/>
    <w:rPr>
      <w:rFonts w:ascii="Cambria" w:hAnsi="Cambria"/>
      <w:i/>
      <w:iCs/>
      <w:color w:val="243f60"/>
    </w:rPr>
  </w:style>
  <w:style w:type="character" w:styleId="1704" w:customStyle="1">
    <w:name w:val="Заголовок 7 Знак"/>
    <w:link w:val="1659"/>
    <w:uiPriority w:val="9"/>
    <w:rPr>
      <w:rFonts w:ascii="Cambria" w:hAnsi="Cambria"/>
      <w:i/>
      <w:iCs/>
      <w:color w:val="404040"/>
    </w:rPr>
  </w:style>
  <w:style w:type="character" w:styleId="1705" w:customStyle="1">
    <w:name w:val="Заголовок 8 Знак"/>
    <w:link w:val="1660"/>
    <w:uiPriority w:val="9"/>
    <w:rPr>
      <w:rFonts w:ascii="Cambria" w:hAnsi="Cambria"/>
      <w:color w:val="4f81bd"/>
    </w:rPr>
  </w:style>
  <w:style w:type="character" w:styleId="1706" w:customStyle="1">
    <w:name w:val="Заголовок 1 Знак"/>
    <w:link w:val="1653"/>
    <w:rPr>
      <w:rFonts w:eastAsia="Calibri"/>
      <w:b/>
      <w:sz w:val="28"/>
      <w:szCs w:val="28"/>
    </w:rPr>
  </w:style>
  <w:style w:type="paragraph" w:styleId="1707" w:customStyle="1">
    <w:name w:val="Знак Знак Знак Знак Знак Знак Знак Знак Знак"/>
    <w:basedOn w:val="165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708" w:customStyle="1">
    <w:name w:val="Заголовок 2 Знак"/>
    <w:link w:val="1654"/>
    <w:rPr>
      <w:rFonts w:eastAsia="Calibri"/>
      <w:b/>
      <w:bCs/>
      <w:sz w:val="24"/>
      <w:szCs w:val="24"/>
    </w:rPr>
  </w:style>
  <w:style w:type="character" w:styleId="1709" w:customStyle="1">
    <w:name w:val="Заголовок 3 Знак"/>
    <w:link w:val="1655"/>
    <w:rPr>
      <w:rFonts w:eastAsia="Calibri"/>
      <w:b/>
      <w:sz w:val="24"/>
      <w:szCs w:val="24"/>
    </w:rPr>
  </w:style>
  <w:style w:type="character" w:styleId="1710" w:customStyle="1">
    <w:name w:val="Заголовок 4 Знак"/>
    <w:link w:val="1656"/>
    <w:rPr>
      <w:rFonts w:eastAsia="Calibri"/>
      <w:b/>
      <w:bCs/>
      <w:sz w:val="24"/>
      <w:szCs w:val="24"/>
    </w:rPr>
  </w:style>
  <w:style w:type="character" w:styleId="1711" w:customStyle="1">
    <w:name w:val="Заголовок 5 Знак"/>
    <w:link w:val="1657"/>
    <w:uiPriority w:val="9"/>
    <w:rPr>
      <w:b/>
      <w:bCs/>
      <w:i/>
      <w:iCs/>
      <w:sz w:val="26"/>
      <w:szCs w:val="26"/>
    </w:rPr>
  </w:style>
  <w:style w:type="character" w:styleId="1712" w:customStyle="1">
    <w:name w:val="Заголовок 9 Знак"/>
    <w:link w:val="1661"/>
    <w:uiPriority w:val="9"/>
    <w:rPr>
      <w:rFonts w:ascii="Arial" w:hAnsi="Arial" w:cs="Arial"/>
      <w:sz w:val="22"/>
      <w:szCs w:val="22"/>
    </w:rPr>
  </w:style>
  <w:style w:type="paragraph" w:styleId="1713">
    <w:name w:val="No Spacing"/>
    <w:basedOn w:val="1652"/>
    <w:uiPriority w:val="1"/>
    <w:pPr>
      <w:spacing w:line="360" w:lineRule="auto"/>
    </w:pPr>
    <w:rPr>
      <w:rFonts w:eastAsia="Calibri"/>
      <w:sz w:val="24"/>
      <w:szCs w:val="24"/>
    </w:rPr>
  </w:style>
  <w:style w:type="paragraph" w:styleId="1714">
    <w:name w:val="Caption"/>
    <w:basedOn w:val="1652"/>
    <w:next w:val="1652"/>
    <w:link w:val="1523"/>
    <w:uiPriority w:val="35"/>
    <w:rPr>
      <w:rFonts w:eastAsia="Calibri"/>
      <w:b/>
      <w:bCs/>
      <w:color w:val="4f81bd"/>
      <w:sz w:val="18"/>
      <w:szCs w:val="18"/>
    </w:rPr>
  </w:style>
  <w:style w:type="character" w:styleId="1715" w:customStyle="1">
    <w:name w:val="Название Знак"/>
    <w:link w:val="1673"/>
    <w:uiPriority w:val="10"/>
    <w:rPr>
      <w:sz w:val="28"/>
    </w:rPr>
  </w:style>
  <w:style w:type="paragraph" w:styleId="1716">
    <w:name w:val="Subtitle"/>
    <w:basedOn w:val="1652"/>
    <w:next w:val="1652"/>
    <w:link w:val="1717"/>
    <w:uiPriority w:val="11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717" w:customStyle="1">
    <w:name w:val="Подзаголовок Знак"/>
    <w:link w:val="171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718">
    <w:name w:val="Emphasis"/>
    <w:uiPriority w:val="20"/>
    <w:rPr>
      <w:i/>
      <w:iCs/>
    </w:rPr>
  </w:style>
  <w:style w:type="paragraph" w:styleId="1719">
    <w:name w:val="List Paragraph"/>
    <w:basedOn w:val="1652"/>
    <w:link w:val="1749"/>
    <w:uiPriority w:val="34"/>
    <w:pPr>
      <w:contextualSpacing/>
      <w:ind w:left="720"/>
    </w:pPr>
    <w:rPr>
      <w:rFonts w:eastAsia="Calibri"/>
      <w:sz w:val="24"/>
      <w:szCs w:val="24"/>
    </w:rPr>
  </w:style>
  <w:style w:type="paragraph" w:styleId="1720">
    <w:name w:val="Quote"/>
    <w:basedOn w:val="1652"/>
    <w:next w:val="1652"/>
    <w:link w:val="1721"/>
    <w:uiPriority w:val="29"/>
    <w:rPr>
      <w:rFonts w:ascii="Calibri" w:hAnsi="Calibri" w:eastAsia="Calibri"/>
      <w:i/>
      <w:iCs/>
      <w:color w:val="000000"/>
      <w:sz w:val="20"/>
      <w:szCs w:val="20"/>
    </w:rPr>
  </w:style>
  <w:style w:type="character" w:styleId="1721" w:customStyle="1">
    <w:name w:val="Цитата 2 Знак"/>
    <w:link w:val="1720"/>
    <w:uiPriority w:val="29"/>
    <w:rPr>
      <w:rFonts w:ascii="Calibri" w:hAnsi="Calibri" w:eastAsia="Calibri"/>
      <w:i/>
      <w:iCs/>
      <w:color w:val="000000"/>
    </w:rPr>
  </w:style>
  <w:style w:type="paragraph" w:styleId="1722">
    <w:name w:val="Intense Quote"/>
    <w:basedOn w:val="1652"/>
    <w:next w:val="1652"/>
    <w:link w:val="1723"/>
    <w:uiPriority w:val="30"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723" w:customStyle="1">
    <w:name w:val="Выделенная цитата Знак"/>
    <w:link w:val="1722"/>
    <w:uiPriority w:val="30"/>
    <w:rPr>
      <w:rFonts w:ascii="Calibri" w:hAnsi="Calibri" w:eastAsia="Calibri"/>
      <w:b/>
      <w:bCs/>
      <w:i/>
      <w:iCs/>
      <w:color w:val="4f81bd"/>
    </w:rPr>
  </w:style>
  <w:style w:type="character" w:styleId="1724">
    <w:name w:val="Subtle Emphasis"/>
    <w:uiPriority w:val="19"/>
    <w:rPr>
      <w:i/>
      <w:iCs/>
      <w:color w:val="808080"/>
    </w:rPr>
  </w:style>
  <w:style w:type="character" w:styleId="1725">
    <w:name w:val="Intense Emphasis"/>
    <w:uiPriority w:val="21"/>
    <w:rPr>
      <w:b/>
      <w:bCs/>
      <w:i/>
      <w:iCs/>
      <w:color w:val="4f81bd"/>
    </w:rPr>
  </w:style>
  <w:style w:type="character" w:styleId="1726">
    <w:name w:val="Subtle Reference"/>
    <w:uiPriority w:val="31"/>
    <w:rPr>
      <w:smallCaps/>
      <w:color w:val="c0504d"/>
      <w:u w:val="single"/>
    </w:rPr>
  </w:style>
  <w:style w:type="character" w:styleId="1727">
    <w:name w:val="Intense Reference"/>
    <w:uiPriority w:val="32"/>
    <w:rPr>
      <w:b/>
      <w:bCs/>
      <w:smallCaps/>
      <w:color w:val="c0504d"/>
      <w:spacing w:val="5"/>
      <w:u w:val="single"/>
    </w:rPr>
  </w:style>
  <w:style w:type="character" w:styleId="1728">
    <w:name w:val="Book Title"/>
    <w:uiPriority w:val="33"/>
    <w:rPr>
      <w:b/>
      <w:bCs/>
      <w:smallCaps/>
      <w:spacing w:val="5"/>
    </w:rPr>
  </w:style>
  <w:style w:type="paragraph" w:styleId="1729">
    <w:name w:val="TOC Heading"/>
    <w:basedOn w:val="1653"/>
    <w:next w:val="1652"/>
    <w:uiPriority w:val="39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730">
    <w:name w:val="E-mail Signature"/>
    <w:basedOn w:val="1652"/>
    <w:link w:val="1731"/>
    <w:uiPriority w:val="99"/>
    <w:unhideWhenUsed/>
    <w:rPr>
      <w:rFonts w:eastAsia="Calibri"/>
      <w:sz w:val="24"/>
      <w:szCs w:val="24"/>
    </w:rPr>
  </w:style>
  <w:style w:type="character" w:styleId="1731" w:customStyle="1">
    <w:name w:val="Электронная подпись Знак"/>
    <w:link w:val="1730"/>
    <w:uiPriority w:val="99"/>
    <w:rPr>
      <w:rFonts w:eastAsia="Calibri"/>
      <w:sz w:val="24"/>
      <w:szCs w:val="24"/>
    </w:rPr>
  </w:style>
  <w:style w:type="paragraph" w:styleId="1732" w:customStyle="1">
    <w:name w:val="Знак"/>
    <w:basedOn w:val="16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733" w:customStyle="1">
    <w:name w:val="Нумерованный список ур3"/>
    <w:basedOn w:val="1652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734" w:customStyle="1">
    <w:name w:val="Нумерованный список 1"/>
    <w:basedOn w:val="1652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735" w:customStyle="1">
    <w:name w:val="Нумерованный список ур2"/>
    <w:basedOn w:val="1652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736">
    <w:name w:val="Revision"/>
    <w:hidden/>
    <w:uiPriority w:val="99"/>
    <w:semiHidden/>
    <w:rPr>
      <w:rFonts w:eastAsia="Calibri"/>
      <w:sz w:val="24"/>
      <w:szCs w:val="24"/>
    </w:rPr>
  </w:style>
  <w:style w:type="paragraph" w:styleId="1737" w:customStyle="1">
    <w:name w:val="ConsPlusNormal"/>
    <w:link w:val="1780"/>
    <w:pPr>
      <w:ind w:firstLine="720"/>
      <w:widowControl w:val="off"/>
    </w:pPr>
    <w:rPr>
      <w:rFonts w:ascii="Arial" w:hAnsi="Arial" w:cs="Arial"/>
    </w:rPr>
  </w:style>
  <w:style w:type="paragraph" w:styleId="1738" w:customStyle="1">
    <w:name w:val="Знак Знак3 Знак Знак"/>
    <w:basedOn w:val="165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739" w:customStyle="1">
    <w:name w:val="Пункт"/>
    <w:basedOn w:val="1652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740" w:customStyle="1">
    <w:name w:val="Подпункт Знак1"/>
    <w:link w:val="1684"/>
    <w:rPr>
      <w:sz w:val="28"/>
    </w:rPr>
  </w:style>
  <w:style w:type="paragraph" w:styleId="1741" w:customStyle="1">
    <w:name w:val="Абзац списка1"/>
    <w:basedOn w:val="1652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742" w:customStyle="1">
    <w:name w:val="Текст сноски Знак"/>
    <w:link w:val="1668"/>
    <w:uiPriority w:val="99"/>
  </w:style>
  <w:style w:type="numbering" w:styleId="1743" w:customStyle="1">
    <w:name w:val="Стиль1"/>
    <w:uiPriority w:val="99"/>
    <w:pPr>
      <w:numPr>
        <w:ilvl w:val="0"/>
        <w:numId w:val="3"/>
      </w:numPr>
    </w:pPr>
  </w:style>
  <w:style w:type="paragraph" w:styleId="1744" w:customStyle="1">
    <w:name w:val="Таблица"/>
    <w:basedOn w:val="1652"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745" w:customStyle="1">
    <w:name w:val="Основной текст Знак"/>
    <w:link w:val="1678"/>
    <w:rPr>
      <w:sz w:val="28"/>
      <w:szCs w:val="28"/>
    </w:rPr>
  </w:style>
  <w:style w:type="character" w:styleId="1746" w:customStyle="1">
    <w:name w:val="blk"/>
  </w:style>
  <w:style w:type="numbering" w:styleId="1747" w:customStyle="1">
    <w:name w:val="Стиль2"/>
    <w:uiPriority w:val="99"/>
    <w:pPr>
      <w:numPr>
        <w:ilvl w:val="0"/>
        <w:numId w:val="5"/>
      </w:numPr>
    </w:pPr>
  </w:style>
  <w:style w:type="paragraph" w:styleId="1748" w:customStyle="1">
    <w:name w:val="Таблица шапка"/>
    <w:basedOn w:val="1652"/>
    <w:pPr>
      <w:ind w:left="57" w:right="57"/>
      <w:keepNext/>
      <w:spacing w:before="40" w:after="40"/>
    </w:pPr>
    <w:rPr>
      <w:sz w:val="22"/>
      <w:szCs w:val="26"/>
    </w:rPr>
  </w:style>
  <w:style w:type="character" w:styleId="1749" w:customStyle="1">
    <w:name w:val="Абзац списка Знак"/>
    <w:link w:val="1719"/>
    <w:uiPriority w:val="34"/>
    <w:rPr>
      <w:rFonts w:eastAsia="Calibri"/>
      <w:sz w:val="24"/>
      <w:szCs w:val="24"/>
    </w:rPr>
  </w:style>
  <w:style w:type="character" w:styleId="1750" w:customStyle="1">
    <w:name w:val="комментарий"/>
    <w:rPr>
      <w:b/>
      <w:i/>
      <w:shd w:val="clear" w:color="auto" w:fill="ffff99"/>
    </w:rPr>
  </w:style>
  <w:style w:type="paragraph" w:styleId="1751" w:customStyle="1">
    <w:name w:val="Подподпункт"/>
    <w:basedOn w:val="1684"/>
    <w:link w:val="1752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752" w:customStyle="1">
    <w:name w:val="Подподпункт Знак"/>
    <w:link w:val="1751"/>
    <w:rPr>
      <w:sz w:val="26"/>
      <w:szCs w:val="26"/>
    </w:rPr>
  </w:style>
  <w:style w:type="paragraph" w:styleId="1753" w:customStyle="1">
    <w:name w:val="УРОВЕНЬ_(а)"/>
    <w:basedOn w:val="1719"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754" w:customStyle="1">
    <w:name w:val="УРОВЕНЬ_-"/>
    <w:basedOn w:val="1719"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755" w:customStyle="1">
    <w:name w:val="УРОВЕНЬ_Абзац_тип2"/>
    <w:basedOn w:val="1719"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756" w:customStyle="1">
    <w:name w:val="УРОВЕНЬ_Абзац_тип3"/>
    <w:basedOn w:val="1719"/>
    <w:link w:val="1758"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757" w:customStyle="1">
    <w:name w:val="УРОВЕНЬ_Подпись"/>
    <w:basedOn w:val="1719"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758" w:customStyle="1">
    <w:name w:val="УРОВЕНЬ_Абзац_тип3 Знак"/>
    <w:link w:val="1756"/>
    <w:rPr>
      <w:rFonts w:eastAsia="Calibri"/>
      <w:sz w:val="26"/>
      <w:szCs w:val="28"/>
      <w:lang w:eastAsia="en-US"/>
    </w:rPr>
  </w:style>
  <w:style w:type="character" w:styleId="1759" w:customStyle="1">
    <w:name w:val="Верхний колонтитул Знак"/>
    <w:link w:val="1674"/>
    <w:uiPriority w:val="99"/>
    <w:rPr>
      <w:sz w:val="24"/>
      <w:szCs w:val="24"/>
    </w:rPr>
  </w:style>
  <w:style w:type="character" w:styleId="1760" w:customStyle="1">
    <w:name w:val="Текст примечания Знак"/>
    <w:link w:val="1695"/>
    <w:semiHidden/>
  </w:style>
  <w:style w:type="paragraph" w:styleId="1761" w:customStyle="1">
    <w:name w:val="Стиль Заголовок 1 + по ширине"/>
    <w:basedOn w:val="1653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762">
    <w:name w:val="endnote text"/>
    <w:basedOn w:val="1652"/>
    <w:link w:val="1763"/>
    <w:rPr>
      <w:sz w:val="20"/>
      <w:szCs w:val="20"/>
    </w:rPr>
  </w:style>
  <w:style w:type="character" w:styleId="1763" w:customStyle="1">
    <w:name w:val="Текст концевой сноски Знак"/>
    <w:basedOn w:val="1662"/>
    <w:link w:val="1762"/>
  </w:style>
  <w:style w:type="character" w:styleId="1764">
    <w:name w:val="endnote reference"/>
    <w:basedOn w:val="1662"/>
    <w:rPr>
      <w:vertAlign w:val="superscript"/>
    </w:rPr>
  </w:style>
  <w:style w:type="paragraph" w:styleId="1765" w:customStyle="1">
    <w:name w:val="Заголовок 2 КВВ"/>
    <w:basedOn w:val="1652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766" w:customStyle="1">
    <w:name w:val="Пункт2 Знак"/>
    <w:link w:val="1685"/>
    <w:rPr>
      <w:b/>
      <w:sz w:val="28"/>
    </w:rPr>
  </w:style>
  <w:style w:type="paragraph" w:styleId="1767" w:customStyle="1">
    <w:name w:val="Таблица текст"/>
    <w:basedOn w:val="1652"/>
    <w:pPr>
      <w:ind w:left="57" w:right="57"/>
      <w:spacing w:before="40" w:after="40"/>
    </w:pPr>
    <w:rPr>
      <w:sz w:val="24"/>
      <w:szCs w:val="26"/>
    </w:rPr>
  </w:style>
  <w:style w:type="paragraph" w:styleId="1768">
    <w:name w:val="Normal (Web)"/>
    <w:basedOn w:val="165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769" w:customStyle="1">
    <w:name w:val="УРОВЕНЬ_1."/>
    <w:basedOn w:val="1719"/>
    <w:link w:val="1770"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770" w:customStyle="1">
    <w:name w:val="УРОВЕНЬ_1. Знак"/>
    <w:link w:val="1769"/>
    <w:rPr>
      <w:rFonts w:eastAsia="Calibri"/>
      <w:caps/>
      <w:sz w:val="28"/>
      <w:szCs w:val="28"/>
      <w:lang w:eastAsia="en-US"/>
    </w:rPr>
  </w:style>
  <w:style w:type="table" w:styleId="1771" w:customStyle="1">
    <w:name w:val="Сетка таблицы1"/>
    <w:basedOn w:val="1663"/>
    <w:next w:val="1676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772">
    <w:name w:val="toc 6"/>
    <w:basedOn w:val="1652"/>
    <w:next w:val="1652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773">
    <w:name w:val="toc 7"/>
    <w:basedOn w:val="1652"/>
    <w:next w:val="1652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774">
    <w:name w:val="toc 8"/>
    <w:basedOn w:val="1652"/>
    <w:next w:val="1652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775" w:customStyle="1">
    <w:name w:val="Неразрешенное упоминание1"/>
    <w:basedOn w:val="1662"/>
    <w:uiPriority w:val="99"/>
    <w:semiHidden/>
    <w:unhideWhenUsed/>
    <w:rPr>
      <w:color w:val="605e5c"/>
      <w:shd w:val="clear" w:color="auto" w:fill="e1dfdd"/>
    </w:rPr>
  </w:style>
  <w:style w:type="character" w:styleId="1776" w:customStyle="1">
    <w:name w:val="Основной текст с отступом 3 Знак"/>
    <w:link w:val="1681"/>
    <w:rPr>
      <w:sz w:val="16"/>
      <w:szCs w:val="16"/>
    </w:rPr>
  </w:style>
  <w:style w:type="paragraph" w:styleId="1777" w:customStyle="1">
    <w:name w:val="headertext"/>
    <w:basedOn w:val="1652"/>
    <w:pPr>
      <w:spacing w:before="100" w:beforeAutospacing="1" w:after="100" w:afterAutospacing="1"/>
    </w:pPr>
    <w:rPr>
      <w:sz w:val="24"/>
      <w:szCs w:val="24"/>
    </w:rPr>
  </w:style>
  <w:style w:type="paragraph" w:styleId="1778" w:customStyle="1">
    <w:name w:val="formattext"/>
    <w:basedOn w:val="1652"/>
    <w:pPr>
      <w:spacing w:before="100" w:beforeAutospacing="1" w:after="100" w:afterAutospacing="1"/>
    </w:pPr>
    <w:rPr>
      <w:sz w:val="24"/>
      <w:szCs w:val="24"/>
    </w:rPr>
  </w:style>
  <w:style w:type="paragraph" w:styleId="1779" w:customStyle="1">
    <w:name w:val="ListNum"/>
    <w:pPr>
      <w:jc w:val="both"/>
      <w:spacing w:before="60"/>
      <w:widowControl w:val="off"/>
      <w:tabs>
        <w:tab w:val="left" w:pos="284" w:leader="none"/>
        <w:tab w:val="left" w:pos="12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0"/>
      <w:sz w:val="22"/>
      <w:szCs w:val="22"/>
    </w:rPr>
  </w:style>
  <w:style w:type="character" w:styleId="1780" w:customStyle="1">
    <w:name w:val="ConsPlusNormal Знак"/>
    <w:link w:val="1737"/>
    <w:rPr>
      <w:rFonts w:ascii="Arial" w:hAnsi="Arial" w:cs="Arial"/>
    </w:rPr>
  </w:style>
  <w:style w:type="paragraph" w:styleId="1781" w:customStyle="1">
    <w:name w:val="Default"/>
    <w:rPr>
      <w:color w:val="000000"/>
      <w:sz w:val="24"/>
      <w:szCs w:val="24"/>
    </w:rPr>
  </w:style>
  <w:style w:type="paragraph" w:styleId="1782" w:customStyle="1">
    <w:name w:val="курсив ТТ"/>
    <w:basedOn w:val="1652"/>
    <w:link w:val="1783"/>
    <w:pPr>
      <w:framePr w:hSpace="180" w:wrap="around" w:vAnchor="text" w:hAnchor="text" w:y="1"/>
    </w:pPr>
    <w:rPr>
      <w:iCs/>
      <w:sz w:val="24"/>
      <w:szCs w:val="24"/>
    </w:rPr>
  </w:style>
  <w:style w:type="character" w:styleId="1783" w:customStyle="1">
    <w:name w:val="курсив ТТ Знак"/>
    <w:basedOn w:val="1662"/>
    <w:link w:val="1782"/>
    <w:rPr>
      <w:iCs/>
      <w:sz w:val="24"/>
      <w:szCs w:val="24"/>
    </w:rPr>
  </w:style>
  <w:style w:type="paragraph" w:styleId="1784" w:customStyle="1">
    <w:name w:val="НТ"/>
    <w:basedOn w:val="1652"/>
    <w:link w:val="1786"/>
    <w:qFormat/>
    <w:rPr>
      <w:b/>
      <w:sz w:val="24"/>
      <w:szCs w:val="24"/>
    </w:rPr>
  </w:style>
  <w:style w:type="paragraph" w:styleId="1785" w:customStyle="1">
    <w:name w:val="На)"/>
    <w:basedOn w:val="1719"/>
    <w:link w:val="1787"/>
    <w:qFormat/>
    <w:pPr>
      <w:numPr>
        <w:ilvl w:val="0"/>
        <w:numId w:val="60"/>
      </w:numPr>
    </w:pPr>
  </w:style>
  <w:style w:type="character" w:styleId="1786" w:customStyle="1">
    <w:name w:val="НТ Знак"/>
    <w:basedOn w:val="1662"/>
    <w:link w:val="1784"/>
    <w:rPr>
      <w:b/>
      <w:sz w:val="24"/>
      <w:szCs w:val="24"/>
    </w:rPr>
  </w:style>
  <w:style w:type="character" w:styleId="1787" w:customStyle="1">
    <w:name w:val="На) Знак"/>
    <w:basedOn w:val="1749"/>
    <w:link w:val="1785"/>
    <w:rPr>
      <w:rFonts w:eastAsia="Calibri"/>
      <w:sz w:val="24"/>
      <w:szCs w:val="24"/>
    </w:rPr>
  </w:style>
  <w:style w:type="paragraph" w:styleId="1788" w:customStyle="1">
    <w:name w:val="Н5"/>
    <w:basedOn w:val="1655"/>
    <w:link w:val="1789"/>
    <w:qFormat/>
    <w:pPr>
      <w:numPr>
        <w:ilvl w:val="3"/>
      </w:numPr>
      <w:ind w:left="1418" w:hanging="992"/>
      <w:outlineLvl w:val="9"/>
    </w:pPr>
    <w:rPr>
      <w:b w:val="0"/>
    </w:rPr>
  </w:style>
  <w:style w:type="character" w:styleId="1789" w:customStyle="1">
    <w:name w:val="Н5 Знак"/>
    <w:basedOn w:val="1709"/>
    <w:link w:val="1788"/>
    <w:rPr>
      <w:rFonts w:eastAsia="Calibri"/>
      <w:b w:val="0"/>
      <w:sz w:val="24"/>
      <w:szCs w:val="24"/>
    </w:rPr>
  </w:style>
  <w:style w:type="paragraph" w:styleId="1790" w:customStyle="1">
    <w:name w:val="Основной текст3"/>
    <w:pPr>
      <w:contextualSpacing w:val="0"/>
      <w:ind w:left="0" w:right="0" w:hanging="180"/>
      <w:jc w:val="both"/>
      <w:keepLines w:val="0"/>
      <w:keepNext w:val="0"/>
      <w:pageBreakBefore w:val="0"/>
      <w:spacing w:before="1980" w:beforeAutospacing="0" w:after="1680" w:afterAutospacing="0" w:line="278" w:lineRule="exac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2"/>
      <w:position w:val="0"/>
      <w:sz w:val="21"/>
      <w:szCs w:val="21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791" w:customStyle="1">
    <w:name w:val="Абзац списка"/>
    <w:uiPriority w:val="34"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792" w:customStyle="1">
    <w:name w:val="Style15"/>
    <w:uiPriority w:val="99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2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29749-D639-45FC-9647-D0A5DBAB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korkina_sv</cp:lastModifiedBy>
  <cp:revision>26</cp:revision>
  <dcterms:created xsi:type="dcterms:W3CDTF">2025-02-25T14:01:00Z</dcterms:created>
  <dcterms:modified xsi:type="dcterms:W3CDTF">2026-08-24T01:38:05Z</dcterms:modified>
</cp:coreProperties>
</file>